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340C1" w14:textId="0D643C46" w:rsidR="007E3A02" w:rsidRDefault="005923F3" w:rsidP="00E400BD">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noProof/>
          <w:color w:val="FF0000"/>
        </w:rPr>
        <w:drawing>
          <wp:anchor distT="0" distB="0" distL="114300" distR="114300" simplePos="0" relativeHeight="251659264" behindDoc="0" locked="0" layoutInCell="1" allowOverlap="1" wp14:anchorId="4978652E" wp14:editId="1A04B0D4">
            <wp:simplePos x="0" y="0"/>
            <wp:positionH relativeFrom="margin">
              <wp:posOffset>2085051</wp:posOffset>
            </wp:positionH>
            <wp:positionV relativeFrom="margin">
              <wp:posOffset>-350322</wp:posOffset>
            </wp:positionV>
            <wp:extent cx="1857375" cy="1104900"/>
            <wp:effectExtent l="0" t="0" r="9525"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857375" cy="1104900"/>
                    </a:xfrm>
                    <a:prstGeom prst="rect">
                      <a:avLst/>
                    </a:prstGeom>
                    <a:ln/>
                  </pic:spPr>
                </pic:pic>
              </a:graphicData>
            </a:graphic>
            <wp14:sizeRelH relativeFrom="margin">
              <wp14:pctWidth>0</wp14:pctWidth>
            </wp14:sizeRelH>
            <wp14:sizeRelV relativeFrom="margin">
              <wp14:pctHeight>0</wp14:pctHeight>
            </wp14:sizeRelV>
          </wp:anchor>
        </w:drawing>
      </w:r>
    </w:p>
    <w:p w14:paraId="08192D2A" w14:textId="184AEC9F" w:rsidR="007E3A02" w:rsidRDefault="007E3A02" w:rsidP="00E400BD">
      <w:pPr>
        <w:jc w:val="center"/>
        <w:rPr>
          <w:rFonts w:ascii="Times New Roman" w:eastAsia="Times New Roman" w:hAnsi="Times New Roman" w:cs="Times New Roman"/>
          <w:b/>
          <w:color w:val="FF0000"/>
          <w:sz w:val="28"/>
          <w:szCs w:val="28"/>
        </w:rPr>
      </w:pPr>
    </w:p>
    <w:p w14:paraId="25EF3ABD" w14:textId="77777777" w:rsidR="007E3A02" w:rsidRDefault="007E3A02" w:rsidP="00E400BD">
      <w:pPr>
        <w:jc w:val="center"/>
        <w:rPr>
          <w:rFonts w:ascii="Times New Roman" w:eastAsia="Times New Roman" w:hAnsi="Times New Roman" w:cs="Times New Roman"/>
          <w:b/>
          <w:color w:val="FF0000"/>
          <w:sz w:val="28"/>
          <w:szCs w:val="28"/>
        </w:rPr>
      </w:pPr>
    </w:p>
    <w:p w14:paraId="4046BD10" w14:textId="77777777" w:rsidR="007E3A02" w:rsidRDefault="007E3A02" w:rsidP="00E400BD">
      <w:pPr>
        <w:jc w:val="center"/>
        <w:rPr>
          <w:rFonts w:ascii="Times New Roman" w:eastAsia="Times New Roman" w:hAnsi="Times New Roman" w:cs="Times New Roman"/>
          <w:b/>
          <w:color w:val="FF0000"/>
          <w:sz w:val="28"/>
          <w:szCs w:val="28"/>
        </w:rPr>
      </w:pPr>
    </w:p>
    <w:p w14:paraId="727048FB" w14:textId="77777777" w:rsidR="00C56EF2" w:rsidRDefault="00C56EF2" w:rsidP="00D617D3">
      <w:pPr>
        <w:rPr>
          <w:rFonts w:ascii="Times New Roman" w:eastAsia="Times New Roman" w:hAnsi="Times New Roman" w:cs="Times New Roman"/>
          <w:b/>
          <w:color w:val="FF0000"/>
          <w:sz w:val="28"/>
          <w:szCs w:val="28"/>
        </w:rPr>
      </w:pPr>
    </w:p>
    <w:p w14:paraId="7822CD04" w14:textId="77777777" w:rsidR="00C56EF2" w:rsidRDefault="00C56EF2" w:rsidP="00D617D3">
      <w:pPr>
        <w:rPr>
          <w:rFonts w:ascii="Times New Roman" w:eastAsia="Times New Roman" w:hAnsi="Times New Roman" w:cs="Times New Roman"/>
          <w:b/>
          <w:color w:val="FF0000"/>
          <w:sz w:val="28"/>
          <w:szCs w:val="28"/>
        </w:rPr>
      </w:pPr>
    </w:p>
    <w:p w14:paraId="07B8913F" w14:textId="58ACCC34" w:rsidR="00D617D3" w:rsidRDefault="00D617D3" w:rsidP="00D617D3">
      <w:pPr>
        <w:rPr>
          <w:rFonts w:ascii="Times New Roman" w:eastAsia="Times New Roman" w:hAnsi="Times New Roman" w:cs="Times New Roman"/>
          <w:bCs/>
        </w:rPr>
      </w:pPr>
      <w:r w:rsidRPr="005923F3">
        <w:rPr>
          <w:rFonts w:ascii="Times New Roman" w:eastAsia="Times New Roman" w:hAnsi="Times New Roman" w:cs="Times New Roman"/>
          <w:bCs/>
        </w:rPr>
        <w:t xml:space="preserve">Piazzola sul Brenta, </w:t>
      </w:r>
      <w:r>
        <w:rPr>
          <w:rFonts w:ascii="Times New Roman" w:eastAsia="Times New Roman" w:hAnsi="Times New Roman" w:cs="Times New Roman"/>
          <w:bCs/>
        </w:rPr>
        <w:t>14 maggio 2026</w:t>
      </w:r>
    </w:p>
    <w:p w14:paraId="4EA8C6DF" w14:textId="6A200265" w:rsidR="00D617D3" w:rsidRDefault="00D617D3" w:rsidP="00D617D3">
      <w:pPr>
        <w:rPr>
          <w:rFonts w:ascii="Times New Roman" w:eastAsia="Times New Roman" w:hAnsi="Times New Roman" w:cs="Times New Roman"/>
          <w:bCs/>
        </w:rPr>
      </w:pPr>
    </w:p>
    <w:p w14:paraId="6908C4EA" w14:textId="77777777" w:rsidR="00C56EF2" w:rsidRDefault="00C56EF2" w:rsidP="00D617D3">
      <w:pPr>
        <w:rPr>
          <w:rFonts w:ascii="Times New Roman" w:eastAsia="Times New Roman" w:hAnsi="Times New Roman" w:cs="Times New Roman"/>
          <w:bCs/>
        </w:rPr>
      </w:pPr>
    </w:p>
    <w:p w14:paraId="3BE24090" w14:textId="77777777" w:rsidR="00D617D3" w:rsidRDefault="00D617D3" w:rsidP="00D617D3">
      <w:pPr>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DAL’UMIDO DI CASA ALL’IMPIANTO PILOTA</w:t>
      </w:r>
    </w:p>
    <w:p w14:paraId="71D3AF33" w14:textId="77777777" w:rsidR="00D617D3" w:rsidRDefault="00D617D3" w:rsidP="00D617D3">
      <w:pPr>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PROGETTO INNODABIO PER UNA COMPLETA CIRCULAR ECONOMY</w:t>
      </w:r>
    </w:p>
    <w:p w14:paraId="60F51E07" w14:textId="77777777" w:rsidR="00D617D3" w:rsidRDefault="00D617D3" w:rsidP="00D617D3">
      <w:pPr>
        <w:jc w:val="center"/>
        <w:rPr>
          <w:rFonts w:ascii="Times New Roman" w:eastAsia="Times New Roman" w:hAnsi="Times New Roman" w:cs="Times New Roman"/>
          <w:b/>
        </w:rPr>
      </w:pPr>
      <w:r>
        <w:rPr>
          <w:rFonts w:ascii="Times New Roman" w:eastAsia="Times New Roman" w:hAnsi="Times New Roman" w:cs="Times New Roman"/>
          <w:b/>
        </w:rPr>
        <w:t xml:space="preserve">Bioplastiche nel rifiuto organico: gestirle per ottimizzare la resa in biometano. </w:t>
      </w:r>
    </w:p>
    <w:p w14:paraId="368DDEF7" w14:textId="10773840" w:rsidR="00D617D3" w:rsidRDefault="00D617D3" w:rsidP="00D617D3">
      <w:pPr>
        <w:jc w:val="center"/>
        <w:rPr>
          <w:rFonts w:ascii="Times New Roman" w:eastAsia="Times New Roman" w:hAnsi="Times New Roman" w:cs="Times New Roman"/>
          <w:b/>
        </w:rPr>
      </w:pPr>
      <w:r>
        <w:rPr>
          <w:rFonts w:ascii="Times New Roman" w:eastAsia="Times New Roman" w:hAnsi="Times New Roman" w:cs="Times New Roman"/>
          <w:b/>
        </w:rPr>
        <w:t xml:space="preserve">Università di Padova, Fondazione Cariverona, Etra e BTS Biogas insieme nel progetto </w:t>
      </w:r>
      <w:r>
        <w:rPr>
          <w:rFonts w:ascii="Times New Roman" w:eastAsia="Times New Roman" w:hAnsi="Times New Roman" w:cs="Times New Roman"/>
          <w:b/>
        </w:rPr>
        <w:br/>
        <w:t>per proporre nuove strategie ingegneristiche e biotecnologiche</w:t>
      </w:r>
    </w:p>
    <w:p w14:paraId="48B5B0AA" w14:textId="77777777" w:rsidR="00C56EF2" w:rsidRDefault="00C56EF2" w:rsidP="00D617D3">
      <w:pPr>
        <w:jc w:val="center"/>
        <w:rPr>
          <w:rFonts w:ascii="Times New Roman" w:eastAsia="Times New Roman" w:hAnsi="Times New Roman" w:cs="Times New Roman"/>
          <w:b/>
        </w:rPr>
      </w:pPr>
    </w:p>
    <w:p w14:paraId="7BAF7D33" w14:textId="77777777" w:rsidR="00D617D3" w:rsidRPr="003F5DBF" w:rsidRDefault="00D617D3" w:rsidP="00D617D3">
      <w:pPr>
        <w:jc w:val="center"/>
        <w:rPr>
          <w:rFonts w:ascii="Times New Roman" w:eastAsia="Times New Roman" w:hAnsi="Times New Roman" w:cs="Times New Roman"/>
        </w:rPr>
      </w:pPr>
    </w:p>
    <w:p w14:paraId="1662F4B5" w14:textId="77777777" w:rsidR="00D617D3" w:rsidRPr="003F5DBF" w:rsidRDefault="00D617D3" w:rsidP="00D617D3">
      <w:pPr>
        <w:jc w:val="both"/>
        <w:rPr>
          <w:rFonts w:ascii="Times New Roman" w:eastAsia="Times New Roman" w:hAnsi="Times New Roman" w:cs="Times New Roman"/>
          <w:b/>
          <w:bCs/>
          <w:color w:val="153D63" w:themeColor="text2" w:themeTint="E6"/>
        </w:rPr>
      </w:pPr>
      <w:r w:rsidRPr="003F5DBF">
        <w:rPr>
          <w:rFonts w:ascii="Times New Roman" w:eastAsia="Times New Roman" w:hAnsi="Times New Roman" w:cs="Times New Roman"/>
          <w:b/>
          <w:bCs/>
          <w:color w:val="153D63" w:themeColor="text2" w:themeTint="E6"/>
        </w:rPr>
        <w:t>Il trattamento delle bioplastiche</w:t>
      </w:r>
    </w:p>
    <w:p w14:paraId="6D527BDF" w14:textId="6587A8D9" w:rsidR="00D617D3" w:rsidRPr="003B17EB" w:rsidRDefault="00D617D3" w:rsidP="00D617D3">
      <w:pPr>
        <w:jc w:val="both"/>
        <w:rPr>
          <w:rFonts w:ascii="Times New Roman" w:eastAsia="Times New Roman" w:hAnsi="Times New Roman" w:cs="Times New Roman"/>
        </w:rPr>
      </w:pPr>
      <w:r w:rsidRPr="003F5DBF">
        <w:rPr>
          <w:rFonts w:ascii="Times New Roman" w:eastAsia="Times New Roman" w:hAnsi="Times New Roman" w:cs="Times New Roman"/>
        </w:rPr>
        <w:t xml:space="preserve">Correttamente, nel “umido di casa”, sotto il nostro lavello, finiscono anche le cosiddette bioplastiche (bicchieri, posate e borse) costituite generalmente da acido </w:t>
      </w:r>
      <w:proofErr w:type="spellStart"/>
      <w:r w:rsidRPr="003F5DBF">
        <w:rPr>
          <w:rFonts w:ascii="Times New Roman" w:eastAsia="Times New Roman" w:hAnsi="Times New Roman" w:cs="Times New Roman"/>
        </w:rPr>
        <w:t>polilattico</w:t>
      </w:r>
      <w:proofErr w:type="spellEnd"/>
      <w:r w:rsidRPr="003F5DBF">
        <w:rPr>
          <w:rFonts w:ascii="Times New Roman" w:eastAsia="Times New Roman" w:hAnsi="Times New Roman" w:cs="Times New Roman"/>
        </w:rPr>
        <w:t xml:space="preserve"> (PLA), </w:t>
      </w:r>
      <w:proofErr w:type="spellStart"/>
      <w:r w:rsidRPr="003F5DBF">
        <w:rPr>
          <w:rFonts w:ascii="Times New Roman" w:eastAsia="Times New Roman" w:hAnsi="Times New Roman" w:cs="Times New Roman"/>
        </w:rPr>
        <w:t>polibutilen</w:t>
      </w:r>
      <w:r>
        <w:rPr>
          <w:rFonts w:ascii="Times New Roman" w:eastAsia="Times New Roman" w:hAnsi="Times New Roman" w:cs="Times New Roman"/>
        </w:rPr>
        <w:t>e</w:t>
      </w:r>
      <w:proofErr w:type="spellEnd"/>
      <w:r>
        <w:rPr>
          <w:rFonts w:ascii="Times New Roman" w:eastAsia="Times New Roman" w:hAnsi="Times New Roman" w:cs="Times New Roman"/>
        </w:rPr>
        <w:t xml:space="preserve"> </w:t>
      </w:r>
      <w:proofErr w:type="spellStart"/>
      <w:r w:rsidRPr="003F5DBF">
        <w:rPr>
          <w:rFonts w:ascii="Times New Roman" w:eastAsia="Times New Roman" w:hAnsi="Times New Roman" w:cs="Times New Roman"/>
        </w:rPr>
        <w:t>adipato</w:t>
      </w:r>
      <w:proofErr w:type="spellEnd"/>
      <w:r w:rsidRPr="003F5DBF">
        <w:rPr>
          <w:rFonts w:ascii="Times New Roman" w:eastAsia="Times New Roman" w:hAnsi="Times New Roman" w:cs="Times New Roman"/>
        </w:rPr>
        <w:t xml:space="preserve"> tereftalato (PBAT) e amido termoplastico (TPS). Vengono conferite nella frazione organica dei rifiuti solidi urbani (FORSU) e sono destinate alla digestione anaerobica e/o al compostaggio. Si tratta del cosiddetto “Sistema Italia” che tanti Paesi Europei e non (</w:t>
      </w:r>
      <w:r>
        <w:rPr>
          <w:rFonts w:ascii="Times New Roman" w:eastAsia="Times New Roman" w:hAnsi="Times New Roman" w:cs="Times New Roman"/>
        </w:rPr>
        <w:t>e perfino il sindaco di</w:t>
      </w:r>
      <w:r w:rsidRPr="003F5DBF">
        <w:rPr>
          <w:rFonts w:ascii="Times New Roman" w:eastAsia="Times New Roman" w:hAnsi="Times New Roman" w:cs="Times New Roman"/>
        </w:rPr>
        <w:t xml:space="preserve"> New York) vorrebbero adottare a stretto giro</w:t>
      </w:r>
      <w:r>
        <w:rPr>
          <w:rFonts w:ascii="Times New Roman" w:eastAsia="Times New Roman" w:hAnsi="Times New Roman" w:cs="Times New Roman"/>
        </w:rPr>
        <w:t xml:space="preserve">. </w:t>
      </w:r>
      <w:r w:rsidRPr="003B17EB">
        <w:rPr>
          <w:rFonts w:ascii="Times New Roman" w:eastAsia="Times New Roman" w:hAnsi="Times New Roman" w:cs="Times New Roman"/>
        </w:rPr>
        <w:t>Le bioplastiche biodegradabili e compostabili si trattano con facilità in presenza di ossigeno, come nella produzione di compost</w:t>
      </w:r>
      <w:r>
        <w:rPr>
          <w:rFonts w:ascii="Times New Roman" w:eastAsia="Times New Roman" w:hAnsi="Times New Roman" w:cs="Times New Roman"/>
        </w:rPr>
        <w:t>.</w:t>
      </w:r>
      <w:r w:rsidRPr="003F5DBF">
        <w:rPr>
          <w:rFonts w:ascii="Times New Roman" w:eastAsia="Times New Roman" w:hAnsi="Times New Roman" w:cs="Times New Roman"/>
        </w:rPr>
        <w:t xml:space="preserve"> Il problema può nascere dal fatto che, nel caso della digestione anaerobica dove non c’è ossigeno, la loro degradazione può essere lenta e può provocare problemi gestionali ai digestori</w:t>
      </w:r>
      <w:r>
        <w:rPr>
          <w:rFonts w:ascii="Times New Roman" w:eastAsia="Times New Roman" w:hAnsi="Times New Roman" w:cs="Times New Roman"/>
        </w:rPr>
        <w:t>.</w:t>
      </w:r>
      <w:r w:rsidRPr="003F5DBF">
        <w:rPr>
          <w:rFonts w:ascii="Times New Roman" w:eastAsia="Times New Roman" w:hAnsi="Times New Roman" w:cs="Times New Roman"/>
        </w:rPr>
        <w:t xml:space="preserve"> </w:t>
      </w:r>
      <w:r>
        <w:rPr>
          <w:rFonts w:ascii="Times New Roman" w:eastAsia="Times New Roman" w:hAnsi="Times New Roman" w:cs="Times New Roman"/>
        </w:rPr>
        <w:t>Inoltre, i</w:t>
      </w:r>
      <w:r w:rsidRPr="003B17EB">
        <w:rPr>
          <w:rFonts w:ascii="Times New Roman" w:eastAsia="Times New Roman" w:hAnsi="Times New Roman" w:cs="Times New Roman"/>
        </w:rPr>
        <w:t xml:space="preserve">l flusso di rifiuti organici deve essere pretrattato al fine di eliminare i contaminanti della </w:t>
      </w:r>
      <w:r>
        <w:rPr>
          <w:rFonts w:ascii="Times New Roman" w:eastAsia="Times New Roman" w:hAnsi="Times New Roman" w:cs="Times New Roman"/>
        </w:rPr>
        <w:t>FORSU</w:t>
      </w:r>
      <w:r w:rsidRPr="003B17EB">
        <w:rPr>
          <w:rFonts w:ascii="Times New Roman" w:eastAsia="Times New Roman" w:hAnsi="Times New Roman" w:cs="Times New Roman"/>
        </w:rPr>
        <w:t xml:space="preserve">, </w:t>
      </w:r>
      <w:r>
        <w:rPr>
          <w:rFonts w:ascii="Times New Roman" w:eastAsia="Times New Roman" w:hAnsi="Times New Roman" w:cs="Times New Roman"/>
        </w:rPr>
        <w:t>in particolare i</w:t>
      </w:r>
      <w:r w:rsidRPr="003B17EB">
        <w:rPr>
          <w:rFonts w:ascii="Times New Roman" w:eastAsia="Times New Roman" w:hAnsi="Times New Roman" w:cs="Times New Roman"/>
        </w:rPr>
        <w:t xml:space="preserve"> sacchi in plastica fossile erroneamente usati dai cittadini per il conferimento dell</w:t>
      </w:r>
      <w:r>
        <w:rPr>
          <w:rFonts w:ascii="Times New Roman" w:eastAsia="Times New Roman" w:hAnsi="Times New Roman" w:cs="Times New Roman"/>
        </w:rPr>
        <w:t>’</w:t>
      </w:r>
      <w:r w:rsidRPr="003B17EB">
        <w:rPr>
          <w:rFonts w:ascii="Times New Roman" w:eastAsia="Times New Roman" w:hAnsi="Times New Roman" w:cs="Times New Roman"/>
        </w:rPr>
        <w:t xml:space="preserve">umido. Il </w:t>
      </w:r>
      <w:proofErr w:type="spellStart"/>
      <w:r w:rsidRPr="003B17EB">
        <w:rPr>
          <w:rFonts w:ascii="Times New Roman" w:eastAsia="Times New Roman" w:hAnsi="Times New Roman" w:cs="Times New Roman"/>
        </w:rPr>
        <w:t>sopravaglio</w:t>
      </w:r>
      <w:proofErr w:type="spellEnd"/>
      <w:r w:rsidRPr="003B17EB">
        <w:rPr>
          <w:rFonts w:ascii="Times New Roman" w:eastAsia="Times New Roman" w:hAnsi="Times New Roman" w:cs="Times New Roman"/>
        </w:rPr>
        <w:t xml:space="preserve"> </w:t>
      </w:r>
      <w:r w:rsidR="00C56EF2">
        <w:rPr>
          <w:rFonts w:ascii="Times New Roman" w:eastAsia="Times New Roman" w:hAnsi="Times New Roman" w:cs="Times New Roman"/>
        </w:rPr>
        <w:t>-</w:t>
      </w:r>
      <w:r w:rsidRPr="003B17EB">
        <w:rPr>
          <w:rFonts w:ascii="Times New Roman" w:eastAsia="Times New Roman" w:hAnsi="Times New Roman" w:cs="Times New Roman"/>
        </w:rPr>
        <w:t xml:space="preserve"> materiale che resta sulle maglie di separazione </w:t>
      </w:r>
      <w:r w:rsidR="00C56EF2">
        <w:rPr>
          <w:rFonts w:ascii="Times New Roman" w:eastAsia="Times New Roman" w:hAnsi="Times New Roman" w:cs="Times New Roman"/>
        </w:rPr>
        <w:t>-</w:t>
      </w:r>
      <w:r w:rsidRPr="003B17EB">
        <w:rPr>
          <w:rFonts w:ascii="Times New Roman" w:eastAsia="Times New Roman" w:hAnsi="Times New Roman" w:cs="Times New Roman"/>
        </w:rPr>
        <w:t xml:space="preserve"> finisce così in discarica o nei termovalorizzatori a costi elevati, pur contenendo organico residuo e bioplastiche in grado di produrre bio</w:t>
      </w:r>
      <w:r>
        <w:rPr>
          <w:rFonts w:ascii="Times New Roman" w:eastAsia="Times New Roman" w:hAnsi="Times New Roman" w:cs="Times New Roman"/>
        </w:rPr>
        <w:t>metano</w:t>
      </w:r>
      <w:r w:rsidRPr="003B17EB">
        <w:rPr>
          <w:rFonts w:ascii="Times New Roman" w:eastAsia="Times New Roman" w:hAnsi="Times New Roman" w:cs="Times New Roman"/>
        </w:rPr>
        <w:t xml:space="preserve">. </w:t>
      </w:r>
    </w:p>
    <w:p w14:paraId="10671C17" w14:textId="2F839294" w:rsidR="00D617D3" w:rsidRPr="003B17EB" w:rsidRDefault="00D617D3" w:rsidP="00D617D3">
      <w:pPr>
        <w:jc w:val="both"/>
        <w:rPr>
          <w:rFonts w:ascii="Times New Roman" w:eastAsia="Times New Roman" w:hAnsi="Times New Roman" w:cs="Times New Roman"/>
        </w:rPr>
      </w:pPr>
      <w:r w:rsidRPr="003B17EB">
        <w:rPr>
          <w:rFonts w:ascii="Times New Roman" w:eastAsia="Times New Roman" w:hAnsi="Times New Roman" w:cs="Times New Roman"/>
        </w:rPr>
        <w:t xml:space="preserve">Proprio per questo, il progetto biennale </w:t>
      </w:r>
      <w:proofErr w:type="spellStart"/>
      <w:r w:rsidRPr="003B17EB">
        <w:rPr>
          <w:rFonts w:ascii="Times New Roman" w:eastAsia="Times New Roman" w:hAnsi="Times New Roman" w:cs="Times New Roman"/>
        </w:rPr>
        <w:t>InnoDABio</w:t>
      </w:r>
      <w:proofErr w:type="spellEnd"/>
      <w:r w:rsidRPr="003B17EB">
        <w:rPr>
          <w:rFonts w:ascii="Times New Roman" w:eastAsia="Times New Roman" w:hAnsi="Times New Roman" w:cs="Times New Roman"/>
        </w:rPr>
        <w:t xml:space="preserve"> </w:t>
      </w:r>
      <w:r w:rsidR="00C56EF2">
        <w:rPr>
          <w:rFonts w:ascii="Times New Roman" w:eastAsia="Times New Roman" w:hAnsi="Times New Roman" w:cs="Times New Roman"/>
        </w:rPr>
        <w:t>-</w:t>
      </w:r>
      <w:r w:rsidRPr="003B17EB">
        <w:rPr>
          <w:rFonts w:ascii="Times New Roman" w:eastAsia="Times New Roman" w:hAnsi="Times New Roman" w:cs="Times New Roman"/>
        </w:rPr>
        <w:t xml:space="preserve"> soluzioni Innovative per ottimizzare la Digestione Anaerobica delle Bioplastiche nella frazione organica dei rifiuti urbani </w:t>
      </w:r>
      <w:r w:rsidR="00C56EF2">
        <w:rPr>
          <w:rFonts w:ascii="Times New Roman" w:eastAsia="Times New Roman" w:hAnsi="Times New Roman" w:cs="Times New Roman"/>
        </w:rPr>
        <w:t>-</w:t>
      </w:r>
      <w:r w:rsidRPr="003B17EB">
        <w:rPr>
          <w:rFonts w:ascii="Times New Roman" w:eastAsia="Times New Roman" w:hAnsi="Times New Roman" w:cs="Times New Roman"/>
        </w:rPr>
        <w:t xml:space="preserve">, da poco concluso, ha messo a punto una tecnologia innovativa che sfrutta </w:t>
      </w:r>
      <w:r>
        <w:rPr>
          <w:rFonts w:ascii="Times New Roman" w:eastAsia="Times New Roman" w:hAnsi="Times New Roman" w:cs="Times New Roman"/>
        </w:rPr>
        <w:t>soluzioni biotecnologiche</w:t>
      </w:r>
      <w:r w:rsidRPr="003B17EB">
        <w:rPr>
          <w:rFonts w:ascii="Times New Roman" w:eastAsia="Times New Roman" w:hAnsi="Times New Roman" w:cs="Times New Roman"/>
        </w:rPr>
        <w:t xml:space="preserve"> per trattare le bioplastiche, in modo efficiente nei processi di digestione anaerobica. </w:t>
      </w:r>
    </w:p>
    <w:p w14:paraId="5EAD5E6B" w14:textId="77777777" w:rsidR="00D617D3" w:rsidRDefault="00D617D3" w:rsidP="00D617D3">
      <w:pPr>
        <w:jc w:val="both"/>
        <w:rPr>
          <w:rFonts w:ascii="Times New Roman" w:eastAsia="Times New Roman" w:hAnsi="Times New Roman" w:cs="Times New Roman"/>
        </w:rPr>
      </w:pPr>
      <w:r w:rsidRPr="003B17EB">
        <w:rPr>
          <w:rFonts w:ascii="Times New Roman" w:eastAsia="Times New Roman" w:hAnsi="Times New Roman" w:cs="Times New Roman"/>
        </w:rPr>
        <w:t xml:space="preserve">In concreto, </w:t>
      </w:r>
      <w:proofErr w:type="spellStart"/>
      <w:r w:rsidRPr="003B17EB">
        <w:rPr>
          <w:rFonts w:ascii="Times New Roman" w:eastAsia="Times New Roman" w:hAnsi="Times New Roman" w:cs="Times New Roman"/>
        </w:rPr>
        <w:t>InnoDABio</w:t>
      </w:r>
      <w:proofErr w:type="spellEnd"/>
      <w:r w:rsidRPr="003B17EB">
        <w:rPr>
          <w:rFonts w:ascii="Times New Roman" w:eastAsia="Times New Roman" w:hAnsi="Times New Roman" w:cs="Times New Roman"/>
        </w:rPr>
        <w:t xml:space="preserve"> ha caratterizzato in modo quali-quantitativo gli oggetti in bioplastica nei rifiuti urbani, ha sviluppato processi </w:t>
      </w:r>
      <w:r>
        <w:rPr>
          <w:rFonts w:ascii="Times New Roman" w:eastAsia="Times New Roman" w:hAnsi="Times New Roman" w:cs="Times New Roman"/>
        </w:rPr>
        <w:t xml:space="preserve">ingegneristici </w:t>
      </w:r>
      <w:r w:rsidRPr="003B17EB">
        <w:rPr>
          <w:rFonts w:ascii="Times New Roman" w:eastAsia="Times New Roman" w:hAnsi="Times New Roman" w:cs="Times New Roman"/>
        </w:rPr>
        <w:t xml:space="preserve">per separare la plastica </w:t>
      </w:r>
      <w:r>
        <w:rPr>
          <w:rFonts w:ascii="Times New Roman" w:eastAsia="Times New Roman" w:hAnsi="Times New Roman" w:cs="Times New Roman"/>
        </w:rPr>
        <w:t>fossile dalle bioplastiche</w:t>
      </w:r>
      <w:r w:rsidRPr="003B17EB">
        <w:rPr>
          <w:rFonts w:ascii="Times New Roman" w:eastAsia="Times New Roman" w:hAnsi="Times New Roman" w:cs="Times New Roman"/>
        </w:rPr>
        <w:t xml:space="preserve"> e ha creato soluzioni enzimatiche d</w:t>
      </w:r>
      <w:r>
        <w:rPr>
          <w:rFonts w:ascii="Times New Roman" w:eastAsia="Times New Roman" w:hAnsi="Times New Roman" w:cs="Times New Roman"/>
        </w:rPr>
        <w:t>’</w:t>
      </w:r>
      <w:r w:rsidRPr="003B17EB">
        <w:rPr>
          <w:rFonts w:ascii="Times New Roman" w:eastAsia="Times New Roman" w:hAnsi="Times New Roman" w:cs="Times New Roman"/>
        </w:rPr>
        <w:t>avanguardia per depolimerizzare le bioplastiche a fine vita, consentendone una gestione efficiente tramite digestione anaerobica.</w:t>
      </w:r>
    </w:p>
    <w:p w14:paraId="3C0C1453" w14:textId="77777777" w:rsidR="00D617D3" w:rsidRPr="003F5DBF" w:rsidRDefault="00D617D3" w:rsidP="00D617D3">
      <w:pPr>
        <w:jc w:val="both"/>
        <w:rPr>
          <w:rFonts w:ascii="Times New Roman" w:eastAsia="Times New Roman" w:hAnsi="Times New Roman" w:cs="Times New Roman"/>
        </w:rPr>
      </w:pPr>
    </w:p>
    <w:p w14:paraId="36748BBF" w14:textId="77777777" w:rsidR="00D617D3" w:rsidRPr="003F5DBF" w:rsidRDefault="00D617D3" w:rsidP="00D617D3">
      <w:pPr>
        <w:jc w:val="both"/>
        <w:rPr>
          <w:rFonts w:ascii="Times New Roman" w:eastAsia="Times New Roman" w:hAnsi="Times New Roman" w:cs="Times New Roman"/>
        </w:rPr>
      </w:pPr>
    </w:p>
    <w:p w14:paraId="3021DED4" w14:textId="7E8362FA" w:rsidR="00D617D3" w:rsidRPr="00C56EF2" w:rsidRDefault="00D617D3" w:rsidP="00D617D3">
      <w:pPr>
        <w:jc w:val="both"/>
        <w:rPr>
          <w:rFonts w:ascii="Times New Roman" w:eastAsia="Times New Roman" w:hAnsi="Times New Roman" w:cs="Times New Roman"/>
          <w:b/>
          <w:bCs/>
          <w:color w:val="153D63" w:themeColor="text2" w:themeTint="E6"/>
          <w:sz w:val="28"/>
          <w:szCs w:val="28"/>
        </w:rPr>
      </w:pPr>
      <w:bookmarkStart w:id="0" w:name="_GoBack"/>
      <w:r w:rsidRPr="00C56EF2">
        <w:rPr>
          <w:rFonts w:ascii="Times New Roman" w:eastAsia="Times New Roman" w:hAnsi="Times New Roman" w:cs="Times New Roman"/>
          <w:b/>
          <w:bCs/>
          <w:color w:val="153D63" w:themeColor="text2" w:themeTint="E6"/>
          <w:sz w:val="28"/>
          <w:szCs w:val="28"/>
        </w:rPr>
        <w:t xml:space="preserve">Dal nuovo </w:t>
      </w:r>
      <w:r w:rsidRPr="00C56EF2">
        <w:rPr>
          <w:rFonts w:ascii="Times New Roman" w:eastAsia="Times New Roman" w:hAnsi="Times New Roman" w:cs="Times New Roman"/>
          <w:b/>
          <w:bCs/>
          <w:i/>
          <w:iCs/>
          <w:color w:val="153D63" w:themeColor="text2" w:themeTint="E6"/>
          <w:sz w:val="28"/>
          <w:szCs w:val="28"/>
        </w:rPr>
        <w:t>concept</w:t>
      </w:r>
      <w:r w:rsidRPr="00C56EF2">
        <w:rPr>
          <w:rFonts w:ascii="Times New Roman" w:eastAsia="Times New Roman" w:hAnsi="Times New Roman" w:cs="Times New Roman"/>
          <w:b/>
          <w:bCs/>
          <w:color w:val="153D63" w:themeColor="text2" w:themeTint="E6"/>
          <w:sz w:val="28"/>
          <w:szCs w:val="28"/>
        </w:rPr>
        <w:t xml:space="preserve"> al prototipo di impianto</w:t>
      </w:r>
    </w:p>
    <w:bookmarkEnd w:id="0"/>
    <w:p w14:paraId="1178FD78" w14:textId="77777777" w:rsidR="00C56EF2" w:rsidRPr="003F5DBF" w:rsidRDefault="00C56EF2" w:rsidP="00D617D3">
      <w:pPr>
        <w:jc w:val="both"/>
        <w:rPr>
          <w:rFonts w:ascii="Times New Roman" w:eastAsia="Times New Roman" w:hAnsi="Times New Roman" w:cs="Times New Roman"/>
          <w:b/>
          <w:bCs/>
          <w:color w:val="153D63" w:themeColor="text2" w:themeTint="E6"/>
        </w:rPr>
      </w:pPr>
    </w:p>
    <w:p w14:paraId="42842FFF" w14:textId="73242E96" w:rsidR="00D617D3" w:rsidRPr="00D617D3" w:rsidRDefault="00D617D3" w:rsidP="00D617D3">
      <w:pPr>
        <w:jc w:val="both"/>
        <w:rPr>
          <w:rFonts w:ascii="Times New Roman" w:eastAsia="Times New Roman" w:hAnsi="Times New Roman" w:cs="Times New Roman"/>
        </w:rPr>
      </w:pPr>
      <w:r w:rsidRPr="003F5DBF">
        <w:rPr>
          <w:rFonts w:ascii="Times New Roman" w:eastAsia="Times New Roman" w:hAnsi="Times New Roman" w:cs="Times New Roman"/>
        </w:rPr>
        <w:t xml:space="preserve">Si tratta quindi di un </w:t>
      </w:r>
      <w:r w:rsidRPr="003F5DBF">
        <w:rPr>
          <w:rFonts w:ascii="Times New Roman" w:eastAsia="Times New Roman" w:hAnsi="Times New Roman" w:cs="Times New Roman"/>
          <w:b/>
          <w:i/>
        </w:rPr>
        <w:t>nuovo concept di digestione anaerobica</w:t>
      </w:r>
      <w:r w:rsidRPr="003F5DBF">
        <w:rPr>
          <w:rFonts w:ascii="Times New Roman" w:eastAsia="Times New Roman" w:hAnsi="Times New Roman" w:cs="Times New Roman"/>
        </w:rPr>
        <w:t xml:space="preserve"> che prevede l’abbinamento di </w:t>
      </w:r>
      <w:r w:rsidRPr="003F5DBF">
        <w:rPr>
          <w:rFonts w:ascii="Times New Roman" w:eastAsia="Times New Roman" w:hAnsi="Times New Roman" w:cs="Times New Roman"/>
          <w:u w:val="single"/>
        </w:rPr>
        <w:t>strategie ingegneristiche e biotecnologiche</w:t>
      </w:r>
      <w:r w:rsidRPr="003F5DBF">
        <w:rPr>
          <w:rFonts w:ascii="Times New Roman" w:eastAsia="Times New Roman" w:hAnsi="Times New Roman" w:cs="Times New Roman"/>
        </w:rPr>
        <w:t xml:space="preserve"> per minimizzare la presenza di frazioni estranee, accelerare l’idrolisi delle bioplastiche, aumentare la resa in biometano negli impianti e </w:t>
      </w:r>
      <w:r w:rsidRPr="003F5DBF">
        <w:rPr>
          <w:rFonts w:ascii="Times New Roman" w:eastAsia="Times New Roman" w:hAnsi="Times New Roman" w:cs="Times New Roman"/>
          <w:u w:val="single"/>
        </w:rPr>
        <w:t>ridurre notevolmente i costi di esercizio</w:t>
      </w:r>
      <w:r w:rsidRPr="003F5DBF">
        <w:rPr>
          <w:rFonts w:ascii="Times New Roman" w:eastAsia="Times New Roman" w:hAnsi="Times New Roman" w:cs="Times New Roman"/>
        </w:rPr>
        <w:t xml:space="preserve">. Una volta selezionata </w:t>
      </w:r>
      <w:r w:rsidRPr="003F5DBF">
        <w:rPr>
          <w:rFonts w:ascii="Times New Roman" w:eastAsia="Times New Roman" w:hAnsi="Times New Roman" w:cs="Times New Roman"/>
          <w:u w:val="single"/>
        </w:rPr>
        <w:t>la tecnologia più efficiente su scala di laboratorio</w:t>
      </w:r>
      <w:r w:rsidRPr="003F5DBF">
        <w:rPr>
          <w:rFonts w:ascii="Times New Roman" w:eastAsia="Times New Roman" w:hAnsi="Times New Roman" w:cs="Times New Roman"/>
        </w:rPr>
        <w:t xml:space="preserve">, </w:t>
      </w:r>
      <w:r w:rsidRPr="003B17EB">
        <w:rPr>
          <w:rFonts w:ascii="Times New Roman" w:eastAsia="Times New Roman" w:hAnsi="Times New Roman" w:cs="Times New Roman"/>
        </w:rPr>
        <w:t xml:space="preserve">il processo di conversione del </w:t>
      </w:r>
      <w:proofErr w:type="spellStart"/>
      <w:r w:rsidRPr="003B17EB">
        <w:rPr>
          <w:rFonts w:ascii="Times New Roman" w:eastAsia="Times New Roman" w:hAnsi="Times New Roman" w:cs="Times New Roman"/>
        </w:rPr>
        <w:t>sopravaglio</w:t>
      </w:r>
      <w:proofErr w:type="spellEnd"/>
      <w:r w:rsidRPr="003B17EB">
        <w:rPr>
          <w:rFonts w:ascii="Times New Roman" w:eastAsia="Times New Roman" w:hAnsi="Times New Roman" w:cs="Times New Roman"/>
        </w:rPr>
        <w:t xml:space="preserve"> in bi</w:t>
      </w:r>
      <w:r>
        <w:rPr>
          <w:rFonts w:ascii="Times New Roman" w:eastAsia="Times New Roman" w:hAnsi="Times New Roman" w:cs="Times New Roman"/>
        </w:rPr>
        <w:t xml:space="preserve">ometano </w:t>
      </w:r>
      <w:r w:rsidRPr="003B17EB">
        <w:rPr>
          <w:rFonts w:ascii="Times New Roman" w:eastAsia="Times New Roman" w:hAnsi="Times New Roman" w:cs="Times New Roman"/>
        </w:rPr>
        <w:t>è stato verificato in scala pilota, su un impianto in continuo appositamente progettato e costruito da BTS Biogas.</w:t>
      </w:r>
      <w:r>
        <w:rPr>
          <w:rFonts w:ascii="Times New Roman" w:eastAsia="Times New Roman" w:hAnsi="Times New Roman" w:cs="Times New Roman"/>
        </w:rPr>
        <w:t xml:space="preserve"> </w:t>
      </w:r>
      <w:r w:rsidRPr="003F5DBF">
        <w:rPr>
          <w:rFonts w:ascii="Times New Roman" w:eastAsia="Times New Roman" w:hAnsi="Times New Roman" w:cs="Times New Roman"/>
        </w:rPr>
        <w:t xml:space="preserve">Il reattore di 20L è stato testato per alcune mensilità in continuo confermando l’efficacia degli enzimi e le performances produttive di biogas direttamente ottenute da </w:t>
      </w:r>
      <w:proofErr w:type="spellStart"/>
      <w:r w:rsidRPr="003F5DBF">
        <w:rPr>
          <w:rFonts w:ascii="Times New Roman" w:eastAsia="Times New Roman" w:hAnsi="Times New Roman" w:cs="Times New Roman"/>
        </w:rPr>
        <w:t>sopravaglio</w:t>
      </w:r>
      <w:proofErr w:type="spellEnd"/>
      <w:r w:rsidRPr="003F5DBF">
        <w:rPr>
          <w:rFonts w:ascii="Times New Roman" w:eastAsia="Times New Roman" w:hAnsi="Times New Roman" w:cs="Times New Roman"/>
        </w:rPr>
        <w:t xml:space="preserve"> e FORSU.</w:t>
      </w:r>
    </w:p>
    <w:p w14:paraId="643219F6" w14:textId="77777777" w:rsidR="00D617D3" w:rsidRPr="003F5DBF" w:rsidRDefault="00D617D3" w:rsidP="00D617D3">
      <w:pPr>
        <w:spacing w:before="240"/>
        <w:jc w:val="center"/>
        <w:rPr>
          <w:rFonts w:ascii="Times New Roman" w:eastAsia="Times New Roman" w:hAnsi="Times New Roman" w:cs="Times New Roman"/>
          <w:b/>
          <w:color w:val="002060"/>
        </w:rPr>
      </w:pPr>
      <w:r w:rsidRPr="003F5DBF">
        <w:rPr>
          <w:rFonts w:ascii="Times New Roman" w:eastAsia="Times New Roman" w:hAnsi="Times New Roman" w:cs="Times New Roman"/>
          <w:b/>
          <w:color w:val="002060"/>
        </w:rPr>
        <w:t>IL PROGETTO</w:t>
      </w:r>
    </w:p>
    <w:p w14:paraId="711AD86B" w14:textId="77777777" w:rsidR="00D617D3" w:rsidRPr="00C56EF2" w:rsidRDefault="00D617D3" w:rsidP="00D617D3">
      <w:pPr>
        <w:jc w:val="both"/>
        <w:rPr>
          <w:rFonts w:ascii="Times New Roman" w:eastAsia="Times New Roman" w:hAnsi="Times New Roman" w:cs="Times New Roman"/>
          <w:b/>
          <w:color w:val="002060"/>
          <w:sz w:val="28"/>
          <w:szCs w:val="28"/>
        </w:rPr>
      </w:pPr>
    </w:p>
    <w:p w14:paraId="2DED69D9" w14:textId="0A8983CF" w:rsidR="00D617D3" w:rsidRPr="00C56EF2" w:rsidRDefault="00D617D3" w:rsidP="00D617D3">
      <w:pPr>
        <w:jc w:val="both"/>
        <w:rPr>
          <w:rFonts w:ascii="Times New Roman" w:eastAsia="Times New Roman" w:hAnsi="Times New Roman" w:cs="Times New Roman"/>
          <w:b/>
          <w:color w:val="002060"/>
          <w:sz w:val="28"/>
          <w:szCs w:val="28"/>
        </w:rPr>
      </w:pPr>
      <w:r w:rsidRPr="00C56EF2">
        <w:rPr>
          <w:rFonts w:ascii="Times New Roman" w:eastAsia="Times New Roman" w:hAnsi="Times New Roman" w:cs="Times New Roman"/>
          <w:b/>
          <w:color w:val="002060"/>
          <w:sz w:val="28"/>
          <w:szCs w:val="28"/>
        </w:rPr>
        <w:t>Premesse</w:t>
      </w:r>
    </w:p>
    <w:p w14:paraId="5892458F" w14:textId="77777777" w:rsidR="00C56EF2" w:rsidRPr="003F5DBF" w:rsidRDefault="00C56EF2" w:rsidP="00D617D3">
      <w:pPr>
        <w:jc w:val="both"/>
        <w:rPr>
          <w:rFonts w:ascii="Times New Roman" w:eastAsia="Times New Roman" w:hAnsi="Times New Roman" w:cs="Times New Roman"/>
          <w:b/>
          <w:color w:val="002060"/>
        </w:rPr>
      </w:pPr>
    </w:p>
    <w:p w14:paraId="08026FBE" w14:textId="1C4EDC65" w:rsidR="00D617D3" w:rsidRDefault="00D617D3" w:rsidP="00D617D3">
      <w:pPr>
        <w:jc w:val="both"/>
        <w:rPr>
          <w:rFonts w:ascii="Times New Roman" w:eastAsia="Times New Roman" w:hAnsi="Times New Roman" w:cs="Times New Roman"/>
        </w:rPr>
      </w:pPr>
      <w:r w:rsidRPr="003F5DBF">
        <w:rPr>
          <w:rFonts w:ascii="Times New Roman" w:eastAsia="Times New Roman" w:hAnsi="Times New Roman" w:cs="Times New Roman"/>
        </w:rPr>
        <w:t xml:space="preserve">Il recente programma europeo </w:t>
      </w:r>
      <w:proofErr w:type="spellStart"/>
      <w:r w:rsidRPr="00A30481">
        <w:rPr>
          <w:rFonts w:ascii="Times New Roman" w:eastAsia="Times New Roman" w:hAnsi="Times New Roman" w:cs="Times New Roman"/>
          <w:b/>
          <w:bCs/>
        </w:rPr>
        <w:t>REPowerEU</w:t>
      </w:r>
      <w:proofErr w:type="spellEnd"/>
      <w:r w:rsidRPr="003F5DBF">
        <w:rPr>
          <w:rFonts w:ascii="Times New Roman" w:eastAsia="Times New Roman" w:hAnsi="Times New Roman" w:cs="Times New Roman"/>
        </w:rPr>
        <w:t xml:space="preserve"> promuove fortemente l’utilizzo del biometano in contesti di </w:t>
      </w:r>
      <w:proofErr w:type="spellStart"/>
      <w:r w:rsidRPr="003F5DBF">
        <w:rPr>
          <w:rFonts w:ascii="Times New Roman" w:eastAsia="Times New Roman" w:hAnsi="Times New Roman" w:cs="Times New Roman"/>
        </w:rPr>
        <w:t>circular</w:t>
      </w:r>
      <w:proofErr w:type="spellEnd"/>
      <w:r w:rsidRPr="003F5DBF">
        <w:rPr>
          <w:rFonts w:ascii="Times New Roman" w:eastAsia="Times New Roman" w:hAnsi="Times New Roman" w:cs="Times New Roman"/>
        </w:rPr>
        <w:t xml:space="preserve"> economy da rifiuti solidi mirando a produrre 35 miliardi di m</w:t>
      </w:r>
      <w:r w:rsidRPr="003F5DBF">
        <w:rPr>
          <w:rFonts w:ascii="Times New Roman" w:eastAsia="Times New Roman" w:hAnsi="Times New Roman" w:cs="Times New Roman"/>
          <w:vertAlign w:val="superscript"/>
        </w:rPr>
        <w:t>3</w:t>
      </w:r>
      <w:r w:rsidRPr="003F5DBF">
        <w:rPr>
          <w:rFonts w:ascii="Times New Roman" w:eastAsia="Times New Roman" w:hAnsi="Times New Roman" w:cs="Times New Roman"/>
        </w:rPr>
        <w:t xml:space="preserve"> di biometano entro il 2030. Anche l’Italia è chiamata a</w:t>
      </w:r>
      <w:r>
        <w:rPr>
          <w:rFonts w:ascii="Times New Roman" w:eastAsia="Times New Roman" w:hAnsi="Times New Roman" w:cs="Times New Roman"/>
        </w:rPr>
        <w:t xml:space="preserve">d aumentare la produzione di </w:t>
      </w:r>
      <w:r w:rsidRPr="003F5DBF">
        <w:rPr>
          <w:rFonts w:ascii="Times New Roman" w:eastAsia="Times New Roman" w:hAnsi="Times New Roman" w:cs="Times New Roman"/>
        </w:rPr>
        <w:t xml:space="preserve">biometano della digestione anaerobica dei rifiuti urbani. Una delle criticità sempre più impattanti in questo settore è legata alla crescente penetrazione nella frazione organica dei rifiuti solidi urbani di bioplastiche che, pur essendo biodegradabili in contesti di compostaggio industriale, sono recalcitranti al trattamento di digestione anaerobica e limitando notevolmente la loro conversione in biometano. Molti impianti di digestione anaerobica sono costretti a vagliare la frazione organica dei rifiuti solidi urbani </w:t>
      </w:r>
      <w:r>
        <w:rPr>
          <w:rFonts w:ascii="Times New Roman" w:eastAsia="Times New Roman" w:hAnsi="Times New Roman" w:cs="Times New Roman"/>
        </w:rPr>
        <w:t xml:space="preserve">per eliminare </w:t>
      </w:r>
      <w:r w:rsidRPr="003B17EB">
        <w:rPr>
          <w:rFonts w:ascii="Times New Roman" w:eastAsia="Times New Roman" w:hAnsi="Times New Roman" w:cs="Times New Roman"/>
        </w:rPr>
        <w:t>i contaminanti</w:t>
      </w:r>
      <w:r>
        <w:rPr>
          <w:rFonts w:ascii="Times New Roman" w:eastAsia="Times New Roman" w:hAnsi="Times New Roman" w:cs="Times New Roman"/>
        </w:rPr>
        <w:t>,</w:t>
      </w:r>
      <w:r w:rsidRPr="003B17EB">
        <w:rPr>
          <w:rFonts w:ascii="Times New Roman" w:eastAsia="Times New Roman" w:hAnsi="Times New Roman" w:cs="Times New Roman"/>
        </w:rPr>
        <w:t xml:space="preserve"> </w:t>
      </w:r>
      <w:r>
        <w:rPr>
          <w:rFonts w:ascii="Times New Roman" w:eastAsia="Times New Roman" w:hAnsi="Times New Roman" w:cs="Times New Roman"/>
        </w:rPr>
        <w:t>in particolare i</w:t>
      </w:r>
      <w:r w:rsidRPr="003B17EB">
        <w:rPr>
          <w:rFonts w:ascii="Times New Roman" w:eastAsia="Times New Roman" w:hAnsi="Times New Roman" w:cs="Times New Roman"/>
        </w:rPr>
        <w:t xml:space="preserve"> sacchi in plastica fossile erroneamente usati dai cittadini per il conferimento dell</w:t>
      </w:r>
      <w:r>
        <w:rPr>
          <w:rFonts w:ascii="Times New Roman" w:eastAsia="Times New Roman" w:hAnsi="Times New Roman" w:cs="Times New Roman"/>
        </w:rPr>
        <w:t>’</w:t>
      </w:r>
      <w:r w:rsidRPr="003B17EB">
        <w:rPr>
          <w:rFonts w:ascii="Times New Roman" w:eastAsia="Times New Roman" w:hAnsi="Times New Roman" w:cs="Times New Roman"/>
        </w:rPr>
        <w:t>umido.</w:t>
      </w:r>
      <w:r>
        <w:rPr>
          <w:rFonts w:ascii="Times New Roman" w:eastAsia="Times New Roman" w:hAnsi="Times New Roman" w:cs="Times New Roman"/>
        </w:rPr>
        <w:t xml:space="preserve"> Nel risultante </w:t>
      </w:r>
      <w:proofErr w:type="spellStart"/>
      <w:r w:rsidRPr="003B17EB">
        <w:rPr>
          <w:rFonts w:ascii="Times New Roman" w:eastAsia="Times New Roman" w:hAnsi="Times New Roman" w:cs="Times New Roman"/>
        </w:rPr>
        <w:t>sopravaglio</w:t>
      </w:r>
      <w:proofErr w:type="spellEnd"/>
      <w:r w:rsidRPr="003B17EB">
        <w:rPr>
          <w:rFonts w:ascii="Times New Roman" w:eastAsia="Times New Roman" w:hAnsi="Times New Roman" w:cs="Times New Roman"/>
        </w:rPr>
        <w:t xml:space="preserve"> </w:t>
      </w:r>
      <w:r w:rsidR="00A30481">
        <w:rPr>
          <w:rFonts w:ascii="Times New Roman" w:eastAsia="Times New Roman" w:hAnsi="Times New Roman" w:cs="Times New Roman"/>
        </w:rPr>
        <w:t>-</w:t>
      </w:r>
      <w:r w:rsidRPr="003B17EB">
        <w:rPr>
          <w:rFonts w:ascii="Times New Roman" w:eastAsia="Times New Roman" w:hAnsi="Times New Roman" w:cs="Times New Roman"/>
        </w:rPr>
        <w:t xml:space="preserve"> materiale che resta sulle maglie di separazione </w:t>
      </w:r>
      <w:r w:rsidR="00A30481">
        <w:rPr>
          <w:rFonts w:ascii="Times New Roman" w:eastAsia="Times New Roman" w:hAnsi="Times New Roman" w:cs="Times New Roman"/>
        </w:rPr>
        <w:t>-</w:t>
      </w:r>
      <w:r w:rsidRPr="003B17EB">
        <w:rPr>
          <w:rFonts w:ascii="Times New Roman" w:eastAsia="Times New Roman" w:hAnsi="Times New Roman" w:cs="Times New Roman"/>
        </w:rPr>
        <w:t xml:space="preserve"> finisc</w:t>
      </w:r>
      <w:r>
        <w:rPr>
          <w:rFonts w:ascii="Times New Roman" w:eastAsia="Times New Roman" w:hAnsi="Times New Roman" w:cs="Times New Roman"/>
        </w:rPr>
        <w:t>ono anche le borsette in bioplastica</w:t>
      </w:r>
      <w:r w:rsidRPr="003B17EB">
        <w:rPr>
          <w:rFonts w:ascii="Times New Roman" w:eastAsia="Times New Roman" w:hAnsi="Times New Roman" w:cs="Times New Roman"/>
        </w:rPr>
        <w:t xml:space="preserve"> </w:t>
      </w:r>
      <w:r>
        <w:rPr>
          <w:rFonts w:ascii="Times New Roman" w:eastAsia="Times New Roman" w:hAnsi="Times New Roman" w:cs="Times New Roman"/>
        </w:rPr>
        <w:t>ed u</w:t>
      </w:r>
      <w:r w:rsidRPr="003F5DBF">
        <w:rPr>
          <w:rFonts w:ascii="Times New Roman" w:eastAsia="Times New Roman" w:hAnsi="Times New Roman" w:cs="Times New Roman"/>
        </w:rPr>
        <w:t>n quantitativo importante di scarto organico (fino al 12% del volume totale di frazione organica dei rifiuti solidi urbani trattata)</w:t>
      </w:r>
      <w:r>
        <w:rPr>
          <w:rFonts w:ascii="Times New Roman" w:eastAsia="Times New Roman" w:hAnsi="Times New Roman" w:cs="Times New Roman"/>
        </w:rPr>
        <w:t>. Scarto organico e bioplastica quindi non possono essere convertite in biometano</w:t>
      </w:r>
      <w:r w:rsidRPr="003F5DBF">
        <w:rPr>
          <w:rFonts w:ascii="Times New Roman" w:eastAsia="Times New Roman" w:hAnsi="Times New Roman" w:cs="Times New Roman"/>
        </w:rPr>
        <w:t xml:space="preserve">. Il </w:t>
      </w:r>
      <w:proofErr w:type="spellStart"/>
      <w:r w:rsidRPr="003F5DBF">
        <w:rPr>
          <w:rFonts w:ascii="Times New Roman" w:eastAsia="Times New Roman" w:hAnsi="Times New Roman" w:cs="Times New Roman"/>
        </w:rPr>
        <w:t>sopravaglio</w:t>
      </w:r>
      <w:proofErr w:type="spellEnd"/>
      <w:r w:rsidRPr="003F5DBF">
        <w:rPr>
          <w:rFonts w:ascii="Times New Roman" w:eastAsia="Times New Roman" w:hAnsi="Times New Roman" w:cs="Times New Roman"/>
        </w:rPr>
        <w:t xml:space="preserve">, inoltre, è un notevole costo gestionale perché spesso viene conferito a titolo oneroso in discarica o incenerimento. Ad esempio, Etra S.p.A., impresa partner di questo progetto, nell’impianto di Bassano del Grappa (VI), che ha dimensioni simili a molti altri impianti regionali, conferisce ogni anno in discarica più di </w:t>
      </w:r>
      <w:r>
        <w:rPr>
          <w:rFonts w:ascii="Times New Roman" w:eastAsia="Times New Roman" w:hAnsi="Times New Roman" w:cs="Times New Roman"/>
        </w:rPr>
        <w:t>5</w:t>
      </w:r>
      <w:r w:rsidRPr="003F5DBF">
        <w:rPr>
          <w:rFonts w:ascii="Times New Roman" w:eastAsia="Times New Roman" w:hAnsi="Times New Roman" w:cs="Times New Roman"/>
        </w:rPr>
        <w:t xml:space="preserve">.000 t di </w:t>
      </w:r>
      <w:proofErr w:type="spellStart"/>
      <w:r w:rsidRPr="003F5DBF">
        <w:rPr>
          <w:rFonts w:ascii="Times New Roman" w:eastAsia="Times New Roman" w:hAnsi="Times New Roman" w:cs="Times New Roman"/>
        </w:rPr>
        <w:t>sopravaglio</w:t>
      </w:r>
      <w:proofErr w:type="spellEnd"/>
      <w:r w:rsidRPr="003F5DBF">
        <w:rPr>
          <w:rFonts w:ascii="Times New Roman" w:eastAsia="Times New Roman" w:hAnsi="Times New Roman" w:cs="Times New Roman"/>
        </w:rPr>
        <w:t xml:space="preserve"> con un costo che supera </w:t>
      </w:r>
      <w:r>
        <w:rPr>
          <w:rFonts w:ascii="Times New Roman" w:eastAsia="Times New Roman" w:hAnsi="Times New Roman" w:cs="Times New Roman"/>
        </w:rPr>
        <w:t>i</w:t>
      </w:r>
      <w:r w:rsidRPr="003F5DBF">
        <w:rPr>
          <w:rFonts w:ascii="Times New Roman" w:eastAsia="Times New Roman" w:hAnsi="Times New Roman" w:cs="Times New Roman"/>
        </w:rPr>
        <w:t xml:space="preserve"> </w:t>
      </w:r>
      <w:r>
        <w:rPr>
          <w:rFonts w:ascii="Times New Roman" w:eastAsia="Times New Roman" w:hAnsi="Times New Roman" w:cs="Times New Roman"/>
        </w:rPr>
        <w:t>9</w:t>
      </w:r>
      <w:r w:rsidRPr="003F5DBF">
        <w:rPr>
          <w:rFonts w:ascii="Times New Roman" w:eastAsia="Times New Roman" w:hAnsi="Times New Roman" w:cs="Times New Roman"/>
        </w:rPr>
        <w:t xml:space="preserve">00.000 euro. È </w:t>
      </w:r>
      <w:r>
        <w:rPr>
          <w:rFonts w:ascii="Times New Roman" w:eastAsia="Times New Roman" w:hAnsi="Times New Roman" w:cs="Times New Roman"/>
        </w:rPr>
        <w:t>decisamente</w:t>
      </w:r>
      <w:r w:rsidRPr="003F5DBF">
        <w:rPr>
          <w:rFonts w:ascii="Times New Roman" w:eastAsia="Times New Roman" w:hAnsi="Times New Roman" w:cs="Times New Roman"/>
        </w:rPr>
        <w:t xml:space="preserve"> prioritario uno sforzo di ricerca e sviluppo per proporre un metodo innovativo di digestione anaerobica che migliori la gestione del </w:t>
      </w:r>
      <w:proofErr w:type="spellStart"/>
      <w:r w:rsidRPr="003F5DBF">
        <w:rPr>
          <w:rFonts w:ascii="Times New Roman" w:eastAsia="Times New Roman" w:hAnsi="Times New Roman" w:cs="Times New Roman"/>
        </w:rPr>
        <w:t>sopravaglio</w:t>
      </w:r>
      <w:proofErr w:type="spellEnd"/>
      <w:r w:rsidRPr="003F5DBF">
        <w:rPr>
          <w:rFonts w:ascii="Times New Roman" w:eastAsia="Times New Roman" w:hAnsi="Times New Roman" w:cs="Times New Roman"/>
        </w:rPr>
        <w:t xml:space="preserve">, ne riduca le quantità e acceleri, con specifici interventi di carattere ingegneristico e biotecnologico, l’idrolisi di items in bioplastica in esso contenuti. Una simile innovazione potrebbe aumentare di almeno il </w:t>
      </w:r>
      <w:r>
        <w:rPr>
          <w:rFonts w:ascii="Times New Roman" w:eastAsia="Times New Roman" w:hAnsi="Times New Roman" w:cs="Times New Roman"/>
        </w:rPr>
        <w:t>2</w:t>
      </w:r>
      <w:r w:rsidRPr="003F5DBF">
        <w:rPr>
          <w:rFonts w:ascii="Times New Roman" w:eastAsia="Times New Roman" w:hAnsi="Times New Roman" w:cs="Times New Roman"/>
        </w:rPr>
        <w:t>0% la resa in biometano da frazione organica dei rifiuti solidi urbani e ridurre notevolmente i costi di gestione di numerosi impianti di digestione anaerobica in tutto il territorio regionale e nazionale.</w:t>
      </w:r>
    </w:p>
    <w:p w14:paraId="6085918E" w14:textId="77777777" w:rsidR="00D617D3" w:rsidRDefault="00D617D3" w:rsidP="00D617D3">
      <w:pPr>
        <w:jc w:val="both"/>
        <w:rPr>
          <w:rFonts w:ascii="Times New Roman" w:eastAsia="Times New Roman" w:hAnsi="Times New Roman" w:cs="Times New Roman"/>
        </w:rPr>
      </w:pPr>
    </w:p>
    <w:p w14:paraId="7F2DE400" w14:textId="65D55FA1" w:rsidR="00D617D3" w:rsidRPr="00C56EF2" w:rsidRDefault="00D617D3" w:rsidP="00D617D3">
      <w:pPr>
        <w:jc w:val="both"/>
        <w:rPr>
          <w:rFonts w:ascii="Times New Roman" w:eastAsia="Times New Roman" w:hAnsi="Times New Roman" w:cs="Times New Roman"/>
          <w:b/>
          <w:color w:val="002060"/>
          <w:sz w:val="28"/>
          <w:szCs w:val="28"/>
        </w:rPr>
      </w:pPr>
      <w:r w:rsidRPr="00C56EF2">
        <w:rPr>
          <w:rFonts w:ascii="Times New Roman" w:eastAsia="Times New Roman" w:hAnsi="Times New Roman" w:cs="Times New Roman"/>
          <w:b/>
          <w:color w:val="002060"/>
          <w:sz w:val="28"/>
          <w:szCs w:val="28"/>
        </w:rPr>
        <w:t>Obiettivi</w:t>
      </w:r>
    </w:p>
    <w:p w14:paraId="45C280A0" w14:textId="77777777" w:rsidR="00C56EF2" w:rsidRPr="003F5DBF" w:rsidRDefault="00C56EF2" w:rsidP="00D617D3">
      <w:pPr>
        <w:jc w:val="both"/>
        <w:rPr>
          <w:rFonts w:ascii="Times New Roman" w:eastAsia="Times New Roman" w:hAnsi="Times New Roman" w:cs="Times New Roman"/>
          <w:b/>
          <w:color w:val="002060"/>
        </w:rPr>
      </w:pPr>
    </w:p>
    <w:p w14:paraId="1E90D807" w14:textId="77777777" w:rsidR="00D617D3" w:rsidRPr="003F5DBF" w:rsidRDefault="00D617D3" w:rsidP="00D617D3">
      <w:pPr>
        <w:jc w:val="both"/>
        <w:rPr>
          <w:rFonts w:ascii="Times New Roman" w:eastAsia="Times New Roman" w:hAnsi="Times New Roman" w:cs="Times New Roman"/>
        </w:rPr>
      </w:pPr>
      <w:proofErr w:type="spellStart"/>
      <w:r w:rsidRPr="003F5DBF">
        <w:rPr>
          <w:rFonts w:ascii="Times New Roman" w:eastAsia="Times New Roman" w:hAnsi="Times New Roman" w:cs="Times New Roman"/>
        </w:rPr>
        <w:t>InnoDABio</w:t>
      </w:r>
      <w:proofErr w:type="spellEnd"/>
      <w:r w:rsidRPr="003F5DBF">
        <w:rPr>
          <w:rFonts w:ascii="Times New Roman" w:eastAsia="Times New Roman" w:hAnsi="Times New Roman" w:cs="Times New Roman"/>
        </w:rPr>
        <w:t xml:space="preserve"> </w:t>
      </w:r>
      <w:r>
        <w:rPr>
          <w:rFonts w:ascii="Times New Roman" w:eastAsia="Times New Roman" w:hAnsi="Times New Roman" w:cs="Times New Roman"/>
        </w:rPr>
        <w:t>è nato con l’obiettivo di migliorare</w:t>
      </w:r>
      <w:r w:rsidRPr="003F5DBF">
        <w:rPr>
          <w:rFonts w:ascii="Times New Roman" w:eastAsia="Times New Roman" w:hAnsi="Times New Roman" w:cs="Times New Roman"/>
        </w:rPr>
        <w:t xml:space="preserve"> la </w:t>
      </w:r>
      <w:r w:rsidRPr="003F5DBF">
        <w:rPr>
          <w:rFonts w:ascii="Times New Roman" w:eastAsia="Times New Roman" w:hAnsi="Times New Roman" w:cs="Times New Roman"/>
          <w:u w:val="single"/>
        </w:rPr>
        <w:t xml:space="preserve">gestione del </w:t>
      </w:r>
      <w:proofErr w:type="spellStart"/>
      <w:r w:rsidRPr="003F5DBF">
        <w:rPr>
          <w:rFonts w:ascii="Times New Roman" w:eastAsia="Times New Roman" w:hAnsi="Times New Roman" w:cs="Times New Roman"/>
          <w:u w:val="single"/>
        </w:rPr>
        <w:t>sopravaglio</w:t>
      </w:r>
      <w:proofErr w:type="spellEnd"/>
      <w:r w:rsidRPr="003F5DBF">
        <w:rPr>
          <w:rFonts w:ascii="Times New Roman" w:eastAsia="Times New Roman" w:hAnsi="Times New Roman" w:cs="Times New Roman"/>
        </w:rPr>
        <w:t xml:space="preserve"> generato dai pretrattamenti dei </w:t>
      </w:r>
      <w:r>
        <w:rPr>
          <w:rFonts w:ascii="Times New Roman" w:eastAsia="Times New Roman" w:hAnsi="Times New Roman" w:cs="Times New Roman"/>
        </w:rPr>
        <w:t>rifiuti organici</w:t>
      </w:r>
      <w:r w:rsidRPr="003F5DBF">
        <w:rPr>
          <w:rFonts w:ascii="Times New Roman" w:eastAsia="Times New Roman" w:hAnsi="Times New Roman" w:cs="Times New Roman"/>
        </w:rPr>
        <w:t xml:space="preserve"> in ingresso negli impianti di valorizzazione integrata della frazione organica dei rifiuti solidi urbani (digestione anaerobica e compostaggio). </w:t>
      </w:r>
      <w:r>
        <w:rPr>
          <w:rFonts w:ascii="Times New Roman" w:eastAsia="Times New Roman" w:hAnsi="Times New Roman" w:cs="Times New Roman"/>
        </w:rPr>
        <w:t xml:space="preserve">Il progetto ha quindi </w:t>
      </w:r>
      <w:r w:rsidRPr="003F5DBF">
        <w:rPr>
          <w:rFonts w:ascii="Times New Roman" w:eastAsia="Times New Roman" w:hAnsi="Times New Roman" w:cs="Times New Roman"/>
        </w:rPr>
        <w:t>ottimizza</w:t>
      </w:r>
      <w:r>
        <w:rPr>
          <w:rFonts w:ascii="Times New Roman" w:eastAsia="Times New Roman" w:hAnsi="Times New Roman" w:cs="Times New Roman"/>
        </w:rPr>
        <w:t xml:space="preserve">to il pretrattamento della FORSU per </w:t>
      </w:r>
      <w:r w:rsidRPr="003F5DBF">
        <w:rPr>
          <w:rFonts w:ascii="Times New Roman" w:eastAsia="Times New Roman" w:hAnsi="Times New Roman" w:cs="Times New Roman"/>
          <w:u w:val="single"/>
        </w:rPr>
        <w:t xml:space="preserve">ridurre i volumi di </w:t>
      </w:r>
      <w:proofErr w:type="spellStart"/>
      <w:r w:rsidRPr="003F5DBF">
        <w:rPr>
          <w:rFonts w:ascii="Times New Roman" w:eastAsia="Times New Roman" w:hAnsi="Times New Roman" w:cs="Times New Roman"/>
          <w:u w:val="single"/>
        </w:rPr>
        <w:t>sopravaglio</w:t>
      </w:r>
      <w:proofErr w:type="spellEnd"/>
      <w:r w:rsidRPr="003F5DBF">
        <w:rPr>
          <w:rFonts w:ascii="Times New Roman" w:eastAsia="Times New Roman" w:hAnsi="Times New Roman" w:cs="Times New Roman"/>
        </w:rPr>
        <w:t xml:space="preserve"> da processare e</w:t>
      </w:r>
      <w:r>
        <w:rPr>
          <w:rFonts w:ascii="Times New Roman" w:eastAsia="Times New Roman" w:hAnsi="Times New Roman" w:cs="Times New Roman"/>
        </w:rPr>
        <w:t xml:space="preserve">d ha sviluppato </w:t>
      </w:r>
      <w:r w:rsidRPr="003F5DBF">
        <w:rPr>
          <w:rFonts w:ascii="Times New Roman" w:eastAsia="Times New Roman" w:hAnsi="Times New Roman" w:cs="Times New Roman"/>
          <w:u w:val="single"/>
        </w:rPr>
        <w:t>una tecnologia innovativa di digestione anaerobica</w:t>
      </w:r>
      <w:r w:rsidRPr="003F5DBF">
        <w:rPr>
          <w:rFonts w:ascii="Times New Roman" w:eastAsia="Times New Roman" w:hAnsi="Times New Roman" w:cs="Times New Roman"/>
        </w:rPr>
        <w:t xml:space="preserve"> (specifici inoculi microbici ed enzimi opportunamente selezionati sia per accelerare l’idrolisi delle bioplastiche contenute nel </w:t>
      </w:r>
      <w:proofErr w:type="spellStart"/>
      <w:r w:rsidRPr="003F5DBF">
        <w:rPr>
          <w:rFonts w:ascii="Times New Roman" w:eastAsia="Times New Roman" w:hAnsi="Times New Roman" w:cs="Times New Roman"/>
        </w:rPr>
        <w:t>sopravaglio</w:t>
      </w:r>
      <w:proofErr w:type="spellEnd"/>
      <w:r w:rsidRPr="003F5DBF">
        <w:rPr>
          <w:rFonts w:ascii="Times New Roman" w:eastAsia="Times New Roman" w:hAnsi="Times New Roman" w:cs="Times New Roman"/>
        </w:rPr>
        <w:t xml:space="preserve"> sia per aumentarne la resa in biometano).</w:t>
      </w:r>
    </w:p>
    <w:p w14:paraId="35BC3A1E" w14:textId="77777777" w:rsidR="00D617D3" w:rsidRPr="003F5DBF" w:rsidRDefault="00D617D3" w:rsidP="00D617D3">
      <w:pPr>
        <w:jc w:val="both"/>
        <w:rPr>
          <w:rFonts w:ascii="Times New Roman" w:eastAsia="Times New Roman" w:hAnsi="Times New Roman" w:cs="Times New Roman"/>
        </w:rPr>
      </w:pPr>
    </w:p>
    <w:p w14:paraId="110E65DF" w14:textId="79695F03" w:rsidR="00D617D3" w:rsidRPr="00C56EF2" w:rsidRDefault="00D617D3" w:rsidP="00D617D3">
      <w:pPr>
        <w:rPr>
          <w:rFonts w:ascii="Times New Roman" w:eastAsia="Times New Roman" w:hAnsi="Times New Roman" w:cs="Times New Roman"/>
          <w:b/>
          <w:color w:val="002060"/>
          <w:sz w:val="28"/>
          <w:szCs w:val="28"/>
        </w:rPr>
      </w:pPr>
      <w:r w:rsidRPr="00C56EF2">
        <w:rPr>
          <w:rFonts w:ascii="Times New Roman" w:eastAsia="Times New Roman" w:hAnsi="Times New Roman" w:cs="Times New Roman"/>
          <w:b/>
          <w:color w:val="002060"/>
          <w:sz w:val="28"/>
          <w:szCs w:val="28"/>
        </w:rPr>
        <w:t xml:space="preserve">Principali risultati ottenuti </w:t>
      </w:r>
    </w:p>
    <w:p w14:paraId="5A6EF8C3" w14:textId="77777777" w:rsidR="00C56EF2" w:rsidRPr="003F5DBF" w:rsidRDefault="00C56EF2" w:rsidP="00D617D3">
      <w:pPr>
        <w:rPr>
          <w:rFonts w:ascii="Times New Roman" w:eastAsia="Times New Roman" w:hAnsi="Times New Roman" w:cs="Times New Roman"/>
          <w:b/>
          <w:color w:val="002060"/>
        </w:rPr>
      </w:pPr>
    </w:p>
    <w:p w14:paraId="7066CEBC" w14:textId="77777777" w:rsidR="00D617D3" w:rsidRPr="003F5DBF" w:rsidRDefault="00D617D3" w:rsidP="00D617D3">
      <w:pPr>
        <w:jc w:val="both"/>
        <w:rPr>
          <w:rFonts w:ascii="Times New Roman" w:eastAsia="Times New Roman" w:hAnsi="Times New Roman" w:cs="Times New Roman"/>
        </w:rPr>
      </w:pPr>
      <w:r w:rsidRPr="003F5DBF">
        <w:rPr>
          <w:rFonts w:ascii="Times New Roman" w:eastAsia="Times New Roman" w:hAnsi="Times New Roman" w:cs="Times New Roman"/>
        </w:rPr>
        <w:t xml:space="preserve">Attraverso un approccio multidisciplinare, </w:t>
      </w:r>
      <w:proofErr w:type="spellStart"/>
      <w:r w:rsidRPr="003F5DBF">
        <w:rPr>
          <w:rFonts w:ascii="Times New Roman" w:eastAsia="Times New Roman" w:hAnsi="Times New Roman" w:cs="Times New Roman"/>
        </w:rPr>
        <w:t>InnoDABio</w:t>
      </w:r>
      <w:proofErr w:type="spellEnd"/>
      <w:r w:rsidRPr="003F5DBF">
        <w:rPr>
          <w:rFonts w:ascii="Times New Roman" w:eastAsia="Times New Roman" w:hAnsi="Times New Roman" w:cs="Times New Roman"/>
        </w:rPr>
        <w:t xml:space="preserve"> ha sviluppato una </w:t>
      </w:r>
      <w:r w:rsidRPr="00220C34">
        <w:rPr>
          <w:rFonts w:ascii="Times New Roman" w:eastAsia="Times New Roman" w:hAnsi="Times New Roman" w:cs="Times New Roman"/>
          <w:b/>
          <w:bCs/>
        </w:rPr>
        <w:t xml:space="preserve">tecnologia del tutto innovativa </w:t>
      </w:r>
      <w:r w:rsidRPr="003F5DBF">
        <w:rPr>
          <w:rFonts w:ascii="Times New Roman" w:eastAsia="Times New Roman" w:hAnsi="Times New Roman" w:cs="Times New Roman"/>
        </w:rPr>
        <w:t xml:space="preserve">per la gestione del </w:t>
      </w:r>
      <w:proofErr w:type="spellStart"/>
      <w:r w:rsidRPr="003F5DBF">
        <w:rPr>
          <w:rFonts w:ascii="Times New Roman" w:eastAsia="Times New Roman" w:hAnsi="Times New Roman" w:cs="Times New Roman"/>
        </w:rPr>
        <w:t>sopravaglio</w:t>
      </w:r>
      <w:proofErr w:type="spellEnd"/>
      <w:r w:rsidRPr="003F5DBF">
        <w:rPr>
          <w:rFonts w:ascii="Times New Roman" w:eastAsia="Times New Roman" w:hAnsi="Times New Roman" w:cs="Times New Roman"/>
        </w:rPr>
        <w:t xml:space="preserve"> dei rifiuti urbani. Le due aziende coinvolte, unitamente ai due gruppi di ricerca patavini, hanno ottimizzato in prima battuta un processo per migliorare la tecnologia di </w:t>
      </w:r>
      <w:proofErr w:type="spellStart"/>
      <w:r w:rsidRPr="003F5DBF">
        <w:rPr>
          <w:rFonts w:ascii="Times New Roman" w:eastAsia="Times New Roman" w:hAnsi="Times New Roman" w:cs="Times New Roman"/>
        </w:rPr>
        <w:t>sopravaglio</w:t>
      </w:r>
      <w:proofErr w:type="spellEnd"/>
      <w:r w:rsidRPr="003F5DBF">
        <w:rPr>
          <w:rFonts w:ascii="Times New Roman" w:eastAsia="Times New Roman" w:hAnsi="Times New Roman" w:cs="Times New Roman"/>
        </w:rPr>
        <w:t xml:space="preserve"> in modo tale da separare in modo sempre più accurato plastiche fossili ed inerti da items in bioplastiche e residui organici. Le bioplastiche, che costituiscono la parte prevalente di </w:t>
      </w:r>
      <w:proofErr w:type="spellStart"/>
      <w:r w:rsidRPr="003F5DBF">
        <w:rPr>
          <w:rFonts w:ascii="Times New Roman" w:eastAsia="Times New Roman" w:hAnsi="Times New Roman" w:cs="Times New Roman"/>
        </w:rPr>
        <w:t>sopravaglio</w:t>
      </w:r>
      <w:proofErr w:type="spellEnd"/>
      <w:r w:rsidRPr="003F5DBF">
        <w:rPr>
          <w:rFonts w:ascii="Times New Roman" w:eastAsia="Times New Roman" w:hAnsi="Times New Roman" w:cs="Times New Roman"/>
        </w:rPr>
        <w:t xml:space="preserve">, sono state </w:t>
      </w:r>
      <w:r w:rsidRPr="003F5DBF">
        <w:rPr>
          <w:rFonts w:ascii="Times New Roman" w:eastAsia="Times New Roman" w:hAnsi="Times New Roman" w:cs="Times New Roman"/>
          <w:i/>
          <w:iCs/>
        </w:rPr>
        <w:t>in primis</w:t>
      </w:r>
      <w:r w:rsidRPr="003F5DBF">
        <w:rPr>
          <w:rFonts w:ascii="Times New Roman" w:eastAsia="Times New Roman" w:hAnsi="Times New Roman" w:cs="Times New Roman"/>
        </w:rPr>
        <w:t xml:space="preserve"> quantificate e caratterizzate dal punto di vista chimico-fisico per procedere poi alla messa a punto di un metodo di DA efficiente per la loro conversione in biogas. Sono stati </w:t>
      </w:r>
      <w:r w:rsidRPr="00220C34">
        <w:rPr>
          <w:rFonts w:ascii="Times New Roman" w:eastAsia="Times New Roman" w:hAnsi="Times New Roman" w:cs="Times New Roman"/>
          <w:b/>
          <w:bCs/>
        </w:rPr>
        <w:t>identificati tre diversi scenari tecnico-produttivi e testati su scala di laboratorio</w:t>
      </w:r>
      <w:r w:rsidRPr="003F5DBF">
        <w:rPr>
          <w:rFonts w:ascii="Times New Roman" w:eastAsia="Times New Roman" w:hAnsi="Times New Roman" w:cs="Times New Roman"/>
        </w:rPr>
        <w:t xml:space="preserve"> grazie ad alcuni enzimi proprietari con notevoli capacità idrolitiche nei confronti delle bioplastiche. Gli esperimenti, condotti impiegando metodi statistici di ottimizzazione (DOE, design of </w:t>
      </w:r>
      <w:proofErr w:type="spellStart"/>
      <w:r w:rsidRPr="003F5DBF">
        <w:rPr>
          <w:rFonts w:ascii="Times New Roman" w:eastAsia="Times New Roman" w:hAnsi="Times New Roman" w:cs="Times New Roman"/>
        </w:rPr>
        <w:t>experiment</w:t>
      </w:r>
      <w:proofErr w:type="spellEnd"/>
      <w:r w:rsidRPr="003F5DBF">
        <w:rPr>
          <w:rFonts w:ascii="Times New Roman" w:eastAsia="Times New Roman" w:hAnsi="Times New Roman" w:cs="Times New Roman"/>
        </w:rPr>
        <w:t xml:space="preserve">), hanno consentito di definire il set ottimale di parametri di processo che permette di massimizzare il tasso di idrolisi delle bioplastiche. Una volta selezionata la tecnologia più efficiente su scala di laboratorio, l’azienda partner BTS Biogas </w:t>
      </w:r>
      <w:proofErr w:type="spellStart"/>
      <w:r w:rsidRPr="003F5DBF">
        <w:rPr>
          <w:rFonts w:ascii="Times New Roman" w:eastAsia="Times New Roman" w:hAnsi="Times New Roman" w:cs="Times New Roman"/>
        </w:rPr>
        <w:t>srl</w:t>
      </w:r>
      <w:proofErr w:type="spellEnd"/>
      <w:r w:rsidRPr="003F5DBF">
        <w:rPr>
          <w:rFonts w:ascii="Times New Roman" w:eastAsia="Times New Roman" w:hAnsi="Times New Roman" w:cs="Times New Roman"/>
        </w:rPr>
        <w:t xml:space="preserve"> ha sviluppato un </w:t>
      </w:r>
      <w:r w:rsidRPr="00220C34">
        <w:rPr>
          <w:rFonts w:ascii="Times New Roman" w:eastAsia="Times New Roman" w:hAnsi="Times New Roman" w:cs="Times New Roman"/>
          <w:b/>
          <w:bCs/>
        </w:rPr>
        <w:t>prototipo di impianto in continuo per poter testare su scala pilota il processo</w:t>
      </w:r>
      <w:r w:rsidRPr="003F5DBF">
        <w:rPr>
          <w:rFonts w:ascii="Times New Roman" w:eastAsia="Times New Roman" w:hAnsi="Times New Roman" w:cs="Times New Roman"/>
        </w:rPr>
        <w:t xml:space="preserve"> di conversione </w:t>
      </w:r>
      <w:r>
        <w:rPr>
          <w:rFonts w:ascii="Times New Roman" w:eastAsia="Times New Roman" w:hAnsi="Times New Roman" w:cs="Times New Roman"/>
        </w:rPr>
        <w:t xml:space="preserve">delle bioplastiche </w:t>
      </w:r>
      <w:r w:rsidRPr="003F5DBF">
        <w:rPr>
          <w:rFonts w:ascii="Times New Roman" w:eastAsia="Times New Roman" w:hAnsi="Times New Roman" w:cs="Times New Roman"/>
        </w:rPr>
        <w:t xml:space="preserve">in biometano. Il reattore di 20L è stato testato per alcune mensilità in continuo confermando l’efficacia degli enzimi e le performances produttive di biogas direttamente ottenute da </w:t>
      </w:r>
      <w:proofErr w:type="spellStart"/>
      <w:r w:rsidRPr="003F5DBF">
        <w:rPr>
          <w:rFonts w:ascii="Times New Roman" w:eastAsia="Times New Roman" w:hAnsi="Times New Roman" w:cs="Times New Roman"/>
        </w:rPr>
        <w:t>sopravaglio</w:t>
      </w:r>
      <w:proofErr w:type="spellEnd"/>
      <w:r w:rsidRPr="003F5DBF">
        <w:rPr>
          <w:rFonts w:ascii="Times New Roman" w:eastAsia="Times New Roman" w:hAnsi="Times New Roman" w:cs="Times New Roman"/>
        </w:rPr>
        <w:t xml:space="preserve"> e FORSU.</w:t>
      </w:r>
    </w:p>
    <w:p w14:paraId="33160160" w14:textId="77777777" w:rsidR="00D617D3" w:rsidRPr="003F5DBF" w:rsidRDefault="00D617D3" w:rsidP="00D617D3">
      <w:pPr>
        <w:spacing w:line="276" w:lineRule="auto"/>
        <w:jc w:val="both"/>
        <w:rPr>
          <w:rFonts w:ascii="Times New Roman" w:eastAsia="Times New Roman" w:hAnsi="Times New Roman" w:cs="Times New Roman"/>
          <w:b/>
          <w:color w:val="002060"/>
        </w:rPr>
      </w:pPr>
    </w:p>
    <w:p w14:paraId="6E3F9C1C" w14:textId="77777777" w:rsidR="00D617D3" w:rsidRPr="00C56EF2" w:rsidRDefault="00D617D3" w:rsidP="00D617D3">
      <w:pPr>
        <w:rPr>
          <w:rFonts w:ascii="Times New Roman" w:eastAsia="Times New Roman" w:hAnsi="Times New Roman" w:cs="Times New Roman"/>
          <w:b/>
          <w:color w:val="002060"/>
          <w:sz w:val="28"/>
          <w:szCs w:val="28"/>
        </w:rPr>
      </w:pPr>
      <w:r w:rsidRPr="00C56EF2">
        <w:rPr>
          <w:rFonts w:ascii="Times New Roman" w:eastAsia="Times New Roman" w:hAnsi="Times New Roman" w:cs="Times New Roman"/>
          <w:b/>
          <w:color w:val="002060"/>
          <w:sz w:val="28"/>
          <w:szCs w:val="28"/>
        </w:rPr>
        <w:t>Dettagli</w:t>
      </w:r>
    </w:p>
    <w:p w14:paraId="1954CF04" w14:textId="77777777" w:rsidR="00D617D3" w:rsidRPr="003F5DBF" w:rsidRDefault="00D617D3" w:rsidP="00D617D3">
      <w:pPr>
        <w:rPr>
          <w:rFonts w:ascii="Times New Roman" w:eastAsia="Times New Roman" w:hAnsi="Times New Roman" w:cs="Times New Roman"/>
          <w:b/>
          <w:color w:val="002060"/>
        </w:rPr>
      </w:pPr>
    </w:p>
    <w:p w14:paraId="65969535" w14:textId="77777777" w:rsidR="00D617D3" w:rsidRPr="003F5DBF" w:rsidRDefault="00D617D3" w:rsidP="00D617D3">
      <w:pPr>
        <w:jc w:val="both"/>
        <w:rPr>
          <w:rFonts w:ascii="Times New Roman" w:eastAsia="Times New Roman" w:hAnsi="Times New Roman" w:cs="Times New Roman"/>
          <w:color w:val="3A3A3A" w:themeColor="background2" w:themeShade="40"/>
          <w:sz w:val="22"/>
          <w:szCs w:val="22"/>
        </w:rPr>
      </w:pPr>
      <w:proofErr w:type="spellStart"/>
      <w:r w:rsidRPr="003F5DBF">
        <w:rPr>
          <w:rFonts w:ascii="Times New Roman" w:eastAsia="Times New Roman" w:hAnsi="Times New Roman" w:cs="Times New Roman"/>
          <w:b/>
          <w:bCs/>
          <w:color w:val="3A3A3A" w:themeColor="background2" w:themeShade="40"/>
          <w:sz w:val="22"/>
          <w:szCs w:val="22"/>
          <w:u w:val="single"/>
        </w:rPr>
        <w:t>InnoDABio</w:t>
      </w:r>
      <w:proofErr w:type="spellEnd"/>
      <w:r w:rsidRPr="003F5DBF">
        <w:rPr>
          <w:rFonts w:ascii="Times New Roman" w:eastAsia="Times New Roman" w:hAnsi="Times New Roman" w:cs="Times New Roman"/>
          <w:color w:val="3A3A3A" w:themeColor="background2" w:themeShade="40"/>
          <w:sz w:val="22"/>
          <w:szCs w:val="22"/>
        </w:rPr>
        <w:t xml:space="preserve"> (soluzioni Innovative per ottimizzare la Digestione Anaerobica delle Bioplastiche contenute nella frazione organica dei rifiuti urbani) ha visto convolte l’Università di Padova - con i due dipartimenti di Agronomia, Animali, Alimenti, Risorse naturali e Ambiente (DAFNAE) e di Ingegneria Industriale (DII) - Fondazione Cariverona, Etra Spa e BTS Biogas Srl. Responsabile scientifico del progetto è il Prof. Lorenzo Favaro del DAFNAE che insieme</w:t>
      </w:r>
      <w:r w:rsidRPr="003F5DBF">
        <w:rPr>
          <w:rFonts w:ascii="Times New Roman" w:hAnsi="Times New Roman" w:cs="Times New Roman"/>
          <w:color w:val="3A3A3A" w:themeColor="background2" w:themeShade="40"/>
          <w:sz w:val="22"/>
          <w:szCs w:val="22"/>
        </w:rPr>
        <w:t xml:space="preserve"> </w:t>
      </w:r>
      <w:r w:rsidRPr="003F5DBF">
        <w:rPr>
          <w:rFonts w:ascii="Times New Roman" w:eastAsia="Times New Roman" w:hAnsi="Times New Roman" w:cs="Times New Roman"/>
          <w:color w:val="3A3A3A" w:themeColor="background2" w:themeShade="40"/>
          <w:sz w:val="22"/>
          <w:szCs w:val="22"/>
        </w:rPr>
        <w:t>alla Prof.ssa Alessandra Lorenzetti del DII hanno lavorato al progetto biennale finanziato per un importo complessivo di 120.000 euro</w:t>
      </w:r>
      <w:r>
        <w:rPr>
          <w:rFonts w:ascii="Times New Roman" w:eastAsia="Times New Roman" w:hAnsi="Times New Roman" w:cs="Times New Roman"/>
          <w:color w:val="3A3A3A" w:themeColor="background2" w:themeShade="40"/>
          <w:sz w:val="22"/>
          <w:szCs w:val="22"/>
        </w:rPr>
        <w:t>.</w:t>
      </w:r>
    </w:p>
    <w:p w14:paraId="5CE6FA67" w14:textId="77777777" w:rsidR="00D617D3" w:rsidRPr="003F5DBF" w:rsidRDefault="00D617D3" w:rsidP="00D617D3">
      <w:pPr>
        <w:jc w:val="both"/>
        <w:rPr>
          <w:rFonts w:ascii="Times New Roman" w:eastAsia="Times New Roman" w:hAnsi="Times New Roman" w:cs="Times New Roman"/>
          <w:color w:val="3A3A3A" w:themeColor="background2" w:themeShade="40"/>
          <w:sz w:val="22"/>
          <w:szCs w:val="22"/>
        </w:rPr>
      </w:pPr>
    </w:p>
    <w:p w14:paraId="24212DB1" w14:textId="659AFF05" w:rsidR="00D617D3" w:rsidRPr="00C56EF2" w:rsidRDefault="00D617D3" w:rsidP="00D617D3">
      <w:pPr>
        <w:spacing w:line="276" w:lineRule="auto"/>
        <w:jc w:val="both"/>
        <w:rPr>
          <w:rFonts w:ascii="Times New Roman" w:eastAsia="Times New Roman" w:hAnsi="Times New Roman" w:cs="Times New Roman"/>
          <w:b/>
          <w:color w:val="153D63" w:themeColor="text2" w:themeTint="E6"/>
          <w:sz w:val="28"/>
          <w:szCs w:val="28"/>
        </w:rPr>
      </w:pPr>
      <w:r w:rsidRPr="00C56EF2">
        <w:rPr>
          <w:rFonts w:ascii="Times New Roman" w:eastAsia="Times New Roman" w:hAnsi="Times New Roman" w:cs="Times New Roman"/>
          <w:b/>
          <w:color w:val="153D63" w:themeColor="text2" w:themeTint="E6"/>
          <w:sz w:val="28"/>
          <w:szCs w:val="28"/>
        </w:rPr>
        <w:t>Partner</w:t>
      </w:r>
    </w:p>
    <w:p w14:paraId="0636590F" w14:textId="77777777" w:rsidR="00C56EF2" w:rsidRPr="003F5DBF" w:rsidRDefault="00C56EF2" w:rsidP="00D617D3">
      <w:pPr>
        <w:spacing w:line="276" w:lineRule="auto"/>
        <w:jc w:val="both"/>
        <w:rPr>
          <w:rFonts w:ascii="Times New Roman" w:eastAsia="Times New Roman" w:hAnsi="Times New Roman" w:cs="Times New Roman"/>
          <w:color w:val="153D63" w:themeColor="text2" w:themeTint="E6"/>
          <w:sz w:val="22"/>
          <w:szCs w:val="22"/>
        </w:rPr>
      </w:pPr>
    </w:p>
    <w:p w14:paraId="27E2A4D6" w14:textId="77777777" w:rsidR="00D617D3" w:rsidRPr="003F5DBF" w:rsidRDefault="00D617D3" w:rsidP="00D617D3">
      <w:pPr>
        <w:jc w:val="both"/>
        <w:rPr>
          <w:rFonts w:ascii="Times New Roman" w:eastAsia="Times New Roman" w:hAnsi="Times New Roman" w:cs="Times New Roman"/>
          <w:b/>
          <w:color w:val="3A3A3A" w:themeColor="background2" w:themeShade="40"/>
          <w:sz w:val="22"/>
          <w:szCs w:val="22"/>
        </w:rPr>
      </w:pPr>
      <w:r w:rsidRPr="003F5DBF">
        <w:rPr>
          <w:rFonts w:ascii="Times New Roman" w:eastAsia="Times New Roman" w:hAnsi="Times New Roman" w:cs="Times New Roman"/>
          <w:b/>
          <w:color w:val="3A3A3A" w:themeColor="background2" w:themeShade="40"/>
          <w:sz w:val="22"/>
          <w:szCs w:val="22"/>
        </w:rPr>
        <w:t xml:space="preserve">Università di Padova </w:t>
      </w:r>
    </w:p>
    <w:p w14:paraId="3CDA6ECC" w14:textId="77777777" w:rsidR="00D617D3" w:rsidRPr="003F5DBF" w:rsidRDefault="00D617D3" w:rsidP="00D617D3">
      <w:pPr>
        <w:jc w:val="both"/>
        <w:rPr>
          <w:rFonts w:ascii="Times New Roman" w:eastAsia="Times New Roman" w:hAnsi="Times New Roman" w:cs="Times New Roman"/>
          <w:color w:val="3A3A3A" w:themeColor="background2" w:themeShade="40"/>
          <w:sz w:val="22"/>
          <w:szCs w:val="22"/>
        </w:rPr>
      </w:pPr>
      <w:r w:rsidRPr="003F5DBF">
        <w:rPr>
          <w:rFonts w:ascii="Times New Roman" w:eastAsia="Times New Roman" w:hAnsi="Times New Roman" w:cs="Times New Roman"/>
          <w:color w:val="3A3A3A" w:themeColor="background2" w:themeShade="40"/>
          <w:sz w:val="22"/>
          <w:szCs w:val="22"/>
        </w:rPr>
        <w:t>Il progetto di ricerca coinvolge l’Università degli Studi di Padova con l’unità di ricerca (UO) di Waste-to-</w:t>
      </w:r>
      <w:proofErr w:type="spellStart"/>
      <w:r w:rsidRPr="003F5DBF">
        <w:rPr>
          <w:rFonts w:ascii="Times New Roman" w:eastAsia="Times New Roman" w:hAnsi="Times New Roman" w:cs="Times New Roman"/>
          <w:color w:val="3A3A3A" w:themeColor="background2" w:themeShade="40"/>
          <w:sz w:val="22"/>
          <w:szCs w:val="22"/>
        </w:rPr>
        <w:t>Bioproducts</w:t>
      </w:r>
      <w:proofErr w:type="spellEnd"/>
      <w:r w:rsidRPr="003F5DBF">
        <w:rPr>
          <w:rFonts w:ascii="Times New Roman" w:eastAsia="Times New Roman" w:hAnsi="Times New Roman" w:cs="Times New Roman"/>
          <w:color w:val="3A3A3A" w:themeColor="background2" w:themeShade="40"/>
          <w:sz w:val="22"/>
          <w:szCs w:val="22"/>
        </w:rPr>
        <w:t xml:space="preserve"> del Dipartimento di Agronomia, Animali, Alimenti, Risorse naturali e Ambiente, DAFNAE (Prof. Lorenzo Favaro,</w:t>
      </w:r>
      <w:hyperlink r:id="rId8">
        <w:r w:rsidRPr="003F5DBF">
          <w:rPr>
            <w:rFonts w:ascii="Times New Roman" w:eastAsia="Times New Roman" w:hAnsi="Times New Roman" w:cs="Times New Roman"/>
            <w:color w:val="3A3A3A" w:themeColor="background2" w:themeShade="40"/>
            <w:sz w:val="22"/>
            <w:szCs w:val="22"/>
          </w:rPr>
          <w:t xml:space="preserve"> </w:t>
        </w:r>
      </w:hyperlink>
      <w:hyperlink r:id="rId9">
        <w:r w:rsidRPr="003F5DBF">
          <w:rPr>
            <w:rFonts w:ascii="Times New Roman" w:eastAsia="Times New Roman" w:hAnsi="Times New Roman" w:cs="Times New Roman"/>
            <w:color w:val="3A3A3A" w:themeColor="background2" w:themeShade="40"/>
            <w:sz w:val="22"/>
            <w:szCs w:val="22"/>
            <w:u w:val="single"/>
          </w:rPr>
          <w:t>www.wastetobioproducts.com</w:t>
        </w:r>
      </w:hyperlink>
      <w:r w:rsidRPr="003F5DBF">
        <w:rPr>
          <w:rFonts w:ascii="Times New Roman" w:eastAsia="Times New Roman" w:hAnsi="Times New Roman" w:cs="Times New Roman"/>
          <w:color w:val="3A3A3A" w:themeColor="background2" w:themeShade="40"/>
          <w:sz w:val="22"/>
          <w:szCs w:val="22"/>
        </w:rPr>
        <w:t xml:space="preserve">) e l’UO di Ingegneria dei Polimeri (PEG) del Dipartimento di Ingegneria Industriale, DII (Prof. Alessandra Lorenzetti, </w:t>
      </w:r>
      <w:hyperlink r:id="rId10">
        <w:r w:rsidRPr="003F5DBF">
          <w:rPr>
            <w:rFonts w:ascii="Times New Roman" w:eastAsia="Times New Roman" w:hAnsi="Times New Roman" w:cs="Times New Roman"/>
            <w:color w:val="3A3A3A" w:themeColor="background2" w:themeShade="40"/>
            <w:sz w:val="22"/>
            <w:szCs w:val="22"/>
            <w:u w:val="single"/>
          </w:rPr>
          <w:t>https://research.dii.unipd.it/peg/</w:t>
        </w:r>
      </w:hyperlink>
      <w:r w:rsidRPr="003F5DBF">
        <w:rPr>
          <w:rFonts w:ascii="Times New Roman" w:eastAsia="Times New Roman" w:hAnsi="Times New Roman" w:cs="Times New Roman"/>
          <w:color w:val="3A3A3A" w:themeColor="background2" w:themeShade="40"/>
          <w:sz w:val="22"/>
          <w:szCs w:val="22"/>
        </w:rPr>
        <w:t xml:space="preserve">). L’Università collabora con numerose aziende coinvolte nella produzione di biogas ed altri biocarburanti, nel monitoraggio di impianti per il trattamento di rifiuti, nel riciclo di materiali plastici, nella produzione di bioplastiche a partire da scarti organici. Le due UO </w:t>
      </w:r>
      <w:r>
        <w:rPr>
          <w:rFonts w:ascii="Times New Roman" w:eastAsia="Times New Roman" w:hAnsi="Times New Roman" w:cs="Times New Roman"/>
          <w:color w:val="3A3A3A" w:themeColor="background2" w:themeShade="40"/>
          <w:sz w:val="22"/>
          <w:szCs w:val="22"/>
        </w:rPr>
        <w:t>hanno garantito</w:t>
      </w:r>
      <w:r w:rsidRPr="003F5DBF">
        <w:rPr>
          <w:rFonts w:ascii="Times New Roman" w:eastAsia="Times New Roman" w:hAnsi="Times New Roman" w:cs="Times New Roman"/>
          <w:color w:val="3A3A3A" w:themeColor="background2" w:themeShade="40"/>
          <w:sz w:val="22"/>
          <w:szCs w:val="22"/>
        </w:rPr>
        <w:t xml:space="preserve"> il supporto tecnico-scientifico alle aziende partner in ambiti complementari: l’UO DAFNAE è esperta di tecniche di microbiologia agro-ambientale e di approcci biotecnologici per lo sviluppo di soluzioni per l’idrolisi e la conversione di scarti organici in prodotti a valore aggiunto. In particolare, ha recentemente sviluppato alcuni enzimi ricombinanti per l’idrolisi efficiente di materiali in bioplastica quali PLA e TPS (https://www.urobobiotech.com/). L’UO DII ha una notevole competenza in ambito di processi di riciclo chimico (tra cui l’idrolisi) nonché di ottimizzazione delle condizioni di processo e di caratterizzazione di polimeri di scarto da avviare a riciclo e di intermedi/prodotti finali di reazione. Tali competenze, unitamente a quelle aziendali, in prevalenza di ingegneria ambientale e di processo, costituiscono un </w:t>
      </w:r>
      <w:r w:rsidRPr="00C56EF2">
        <w:rPr>
          <w:rFonts w:ascii="Times New Roman" w:eastAsia="Times New Roman" w:hAnsi="Times New Roman" w:cs="Times New Roman"/>
          <w:i/>
          <w:iCs/>
          <w:color w:val="3A3A3A" w:themeColor="background2" w:themeShade="40"/>
          <w:sz w:val="22"/>
          <w:szCs w:val="22"/>
        </w:rPr>
        <w:t>know-how</w:t>
      </w:r>
      <w:r w:rsidRPr="003F5DBF">
        <w:rPr>
          <w:rFonts w:ascii="Times New Roman" w:eastAsia="Times New Roman" w:hAnsi="Times New Roman" w:cs="Times New Roman"/>
          <w:color w:val="3A3A3A" w:themeColor="background2" w:themeShade="40"/>
          <w:sz w:val="22"/>
          <w:szCs w:val="22"/>
        </w:rPr>
        <w:t xml:space="preserve"> multidisciplinare ed innovativo che si propone come una piattaforma scientifica decisiva per </w:t>
      </w:r>
      <w:proofErr w:type="spellStart"/>
      <w:r w:rsidRPr="003F5DBF">
        <w:rPr>
          <w:rFonts w:ascii="Times New Roman" w:eastAsia="Times New Roman" w:hAnsi="Times New Roman" w:cs="Times New Roman"/>
          <w:color w:val="3A3A3A" w:themeColor="background2" w:themeShade="40"/>
          <w:sz w:val="22"/>
          <w:szCs w:val="22"/>
        </w:rPr>
        <w:t>InnoDABio</w:t>
      </w:r>
      <w:proofErr w:type="spellEnd"/>
      <w:r w:rsidRPr="003F5DBF">
        <w:rPr>
          <w:rFonts w:ascii="Times New Roman" w:eastAsia="Times New Roman" w:hAnsi="Times New Roman" w:cs="Times New Roman"/>
          <w:color w:val="3A3A3A" w:themeColor="background2" w:themeShade="40"/>
          <w:sz w:val="22"/>
          <w:szCs w:val="22"/>
        </w:rPr>
        <w:t>. L’Università è dotata infatti di strumentazioni e laboratori all’avanguardia nel campo delle biotecnologie e dell’ingegneria dei polimeri utilizzati in molti progetti scientifici nazionali ed internazionali.</w:t>
      </w:r>
    </w:p>
    <w:p w14:paraId="22D965C6" w14:textId="77777777" w:rsidR="00D617D3" w:rsidRPr="003F5DBF" w:rsidRDefault="00D617D3" w:rsidP="00D617D3">
      <w:pPr>
        <w:jc w:val="both"/>
        <w:rPr>
          <w:rFonts w:ascii="Times New Roman" w:eastAsia="Times New Roman" w:hAnsi="Times New Roman" w:cs="Times New Roman"/>
          <w:color w:val="3A3A3A" w:themeColor="background2" w:themeShade="40"/>
          <w:sz w:val="22"/>
          <w:szCs w:val="22"/>
        </w:rPr>
      </w:pPr>
    </w:p>
    <w:p w14:paraId="0922125B" w14:textId="77777777" w:rsidR="00D617D3" w:rsidRPr="003F5DBF" w:rsidRDefault="00D617D3" w:rsidP="00D617D3">
      <w:pPr>
        <w:jc w:val="both"/>
        <w:rPr>
          <w:rFonts w:ascii="Times New Roman" w:eastAsia="Times New Roman" w:hAnsi="Times New Roman" w:cs="Times New Roman"/>
          <w:b/>
          <w:color w:val="3A3A3A" w:themeColor="background2" w:themeShade="40"/>
          <w:sz w:val="22"/>
          <w:szCs w:val="22"/>
        </w:rPr>
      </w:pPr>
      <w:r w:rsidRPr="003F5DBF">
        <w:rPr>
          <w:rFonts w:ascii="Times New Roman" w:eastAsia="Times New Roman" w:hAnsi="Times New Roman" w:cs="Times New Roman"/>
          <w:b/>
          <w:color w:val="3A3A3A" w:themeColor="background2" w:themeShade="40"/>
          <w:sz w:val="22"/>
          <w:szCs w:val="22"/>
        </w:rPr>
        <w:t>Fondazione Cariverona</w:t>
      </w:r>
    </w:p>
    <w:p w14:paraId="7B26F416" w14:textId="77777777" w:rsidR="00D617D3" w:rsidRPr="003F5DBF" w:rsidRDefault="00D617D3" w:rsidP="00D617D3">
      <w:pPr>
        <w:jc w:val="both"/>
        <w:rPr>
          <w:rFonts w:ascii="Times New Roman" w:eastAsia="Times New Roman" w:hAnsi="Times New Roman" w:cs="Times New Roman"/>
          <w:b/>
          <w:color w:val="3A3A3A" w:themeColor="background2" w:themeShade="40"/>
          <w:sz w:val="22"/>
          <w:szCs w:val="22"/>
        </w:rPr>
      </w:pPr>
      <w:r w:rsidRPr="003F5DBF">
        <w:rPr>
          <w:rFonts w:ascii="Times New Roman" w:eastAsia="Times New Roman" w:hAnsi="Times New Roman" w:cs="Times New Roman"/>
          <w:color w:val="3A3A3A" w:themeColor="background2" w:themeShade="40"/>
          <w:sz w:val="22"/>
          <w:szCs w:val="22"/>
        </w:rPr>
        <w:t>Cariverona è una fondazione di origine bancaria privata, autonoma e senza scopo di lucro. Da oltre trent’anni ci impegniamo a migliorare la vita delle persone e delle comunità in cui vivono, sostenendo lo sviluppo sociale, economico e culturale dei nostri territori (Verona, Vicenza, Belluno, Ancona, Mantova). Con interventi realizzati direttamente o attraverso il sostegno a progetti selezionati tramite bandi, lavoriamo sui tre obiettivi strategici definiti dai nostri documenti programmatici:</w:t>
      </w:r>
    </w:p>
    <w:p w14:paraId="206EF7B1" w14:textId="1355A7F5" w:rsidR="00D617D3" w:rsidRPr="003F5DBF" w:rsidRDefault="00D617D3" w:rsidP="00D617D3">
      <w:pPr>
        <w:numPr>
          <w:ilvl w:val="0"/>
          <w:numId w:val="1"/>
        </w:numPr>
        <w:jc w:val="both"/>
        <w:rPr>
          <w:rFonts w:ascii="Times New Roman" w:eastAsia="Times New Roman" w:hAnsi="Times New Roman" w:cs="Times New Roman"/>
          <w:color w:val="3A3A3A" w:themeColor="background2" w:themeShade="40"/>
          <w:sz w:val="22"/>
          <w:szCs w:val="22"/>
        </w:rPr>
      </w:pPr>
      <w:r w:rsidRPr="003F5DBF">
        <w:rPr>
          <w:rFonts w:ascii="Times New Roman" w:eastAsia="Times New Roman" w:hAnsi="Times New Roman" w:cs="Times New Roman"/>
          <w:color w:val="3A3A3A" w:themeColor="background2" w:themeShade="40"/>
          <w:sz w:val="22"/>
          <w:szCs w:val="22"/>
        </w:rPr>
        <w:t>protezione e cura dell’ambiente e valorizzazione dei territori</w:t>
      </w:r>
      <w:r w:rsidR="00A30481">
        <w:rPr>
          <w:rFonts w:ascii="Times New Roman" w:eastAsia="Times New Roman" w:hAnsi="Times New Roman" w:cs="Times New Roman"/>
          <w:color w:val="3A3A3A" w:themeColor="background2" w:themeShade="40"/>
          <w:sz w:val="22"/>
          <w:szCs w:val="22"/>
        </w:rPr>
        <w:t>.</w:t>
      </w:r>
    </w:p>
    <w:p w14:paraId="5C20F2FA" w14:textId="58190DFC" w:rsidR="00D617D3" w:rsidRPr="003F5DBF" w:rsidRDefault="00D617D3" w:rsidP="00D617D3">
      <w:pPr>
        <w:numPr>
          <w:ilvl w:val="0"/>
          <w:numId w:val="1"/>
        </w:numPr>
        <w:jc w:val="both"/>
        <w:rPr>
          <w:rFonts w:ascii="Times New Roman" w:eastAsia="Times New Roman" w:hAnsi="Times New Roman" w:cs="Times New Roman"/>
          <w:color w:val="3A3A3A" w:themeColor="background2" w:themeShade="40"/>
          <w:sz w:val="22"/>
          <w:szCs w:val="22"/>
        </w:rPr>
      </w:pPr>
      <w:r w:rsidRPr="003F5DBF">
        <w:rPr>
          <w:rFonts w:ascii="Times New Roman" w:eastAsia="Times New Roman" w:hAnsi="Times New Roman" w:cs="Times New Roman"/>
          <w:color w:val="3A3A3A" w:themeColor="background2" w:themeShade="40"/>
          <w:sz w:val="22"/>
          <w:szCs w:val="22"/>
        </w:rPr>
        <w:t>valorizzazione del capitale umano e promozione di opportunità per i giovani</w:t>
      </w:r>
      <w:r w:rsidR="00A30481">
        <w:rPr>
          <w:rFonts w:ascii="Times New Roman" w:eastAsia="Times New Roman" w:hAnsi="Times New Roman" w:cs="Times New Roman"/>
          <w:color w:val="3A3A3A" w:themeColor="background2" w:themeShade="40"/>
          <w:sz w:val="22"/>
          <w:szCs w:val="22"/>
        </w:rPr>
        <w:t>.</w:t>
      </w:r>
    </w:p>
    <w:p w14:paraId="77164B11" w14:textId="543A6E4A" w:rsidR="00D617D3" w:rsidRPr="003F5DBF" w:rsidRDefault="00D617D3" w:rsidP="00D617D3">
      <w:pPr>
        <w:numPr>
          <w:ilvl w:val="0"/>
          <w:numId w:val="1"/>
        </w:numPr>
        <w:jc w:val="both"/>
        <w:rPr>
          <w:rFonts w:ascii="Times New Roman" w:eastAsia="Times New Roman" w:hAnsi="Times New Roman" w:cs="Times New Roman"/>
          <w:color w:val="3A3A3A" w:themeColor="background2" w:themeShade="40"/>
          <w:sz w:val="22"/>
          <w:szCs w:val="22"/>
        </w:rPr>
      </w:pPr>
      <w:r w:rsidRPr="003F5DBF">
        <w:rPr>
          <w:rFonts w:ascii="Times New Roman" w:eastAsia="Times New Roman" w:hAnsi="Times New Roman" w:cs="Times New Roman"/>
          <w:color w:val="3A3A3A" w:themeColor="background2" w:themeShade="40"/>
          <w:sz w:val="22"/>
          <w:szCs w:val="22"/>
        </w:rPr>
        <w:t>innovazione sociale, benessere, qualità della vita per comunità inclusive e coese</w:t>
      </w:r>
      <w:r w:rsidR="00A30481">
        <w:rPr>
          <w:rFonts w:ascii="Times New Roman" w:eastAsia="Times New Roman" w:hAnsi="Times New Roman" w:cs="Times New Roman"/>
          <w:color w:val="3A3A3A" w:themeColor="background2" w:themeShade="40"/>
          <w:sz w:val="22"/>
          <w:szCs w:val="22"/>
        </w:rPr>
        <w:t>.</w:t>
      </w:r>
    </w:p>
    <w:p w14:paraId="2D4ABABF" w14:textId="77777777" w:rsidR="00D617D3" w:rsidRPr="003F5DBF" w:rsidRDefault="00D617D3" w:rsidP="00D617D3">
      <w:pPr>
        <w:jc w:val="both"/>
        <w:rPr>
          <w:rFonts w:ascii="Times New Roman" w:eastAsia="Times New Roman" w:hAnsi="Times New Roman" w:cs="Times New Roman"/>
          <w:color w:val="3A3A3A" w:themeColor="background2" w:themeShade="40"/>
          <w:sz w:val="22"/>
          <w:szCs w:val="22"/>
        </w:rPr>
      </w:pPr>
    </w:p>
    <w:p w14:paraId="26EAF6B2" w14:textId="77777777" w:rsidR="00D617D3" w:rsidRPr="003F5DBF" w:rsidRDefault="00D617D3" w:rsidP="00D617D3">
      <w:pPr>
        <w:jc w:val="both"/>
        <w:rPr>
          <w:rFonts w:ascii="Times New Roman" w:eastAsia="Times New Roman" w:hAnsi="Times New Roman" w:cs="Times New Roman"/>
          <w:b/>
          <w:color w:val="3A3A3A" w:themeColor="background2" w:themeShade="40"/>
          <w:sz w:val="22"/>
          <w:szCs w:val="22"/>
        </w:rPr>
      </w:pPr>
    </w:p>
    <w:p w14:paraId="1F06E52E" w14:textId="151267BC" w:rsidR="00D617D3" w:rsidRPr="003F5DBF" w:rsidRDefault="00D617D3" w:rsidP="00D617D3">
      <w:pPr>
        <w:jc w:val="both"/>
        <w:rPr>
          <w:rFonts w:ascii="Times New Roman" w:eastAsia="Times New Roman" w:hAnsi="Times New Roman" w:cs="Times New Roman"/>
          <w:color w:val="3A3A3A" w:themeColor="background2" w:themeShade="40"/>
          <w:sz w:val="22"/>
          <w:szCs w:val="22"/>
        </w:rPr>
      </w:pPr>
      <w:r w:rsidRPr="003F5DBF">
        <w:rPr>
          <w:rFonts w:ascii="Times New Roman" w:eastAsia="Times New Roman" w:hAnsi="Times New Roman" w:cs="Times New Roman"/>
          <w:b/>
          <w:color w:val="3A3A3A" w:themeColor="background2" w:themeShade="40"/>
          <w:sz w:val="22"/>
          <w:szCs w:val="22"/>
        </w:rPr>
        <w:t>ETRA S</w:t>
      </w:r>
      <w:r w:rsidR="00C56EF2">
        <w:rPr>
          <w:rFonts w:ascii="Times New Roman" w:eastAsia="Times New Roman" w:hAnsi="Times New Roman" w:cs="Times New Roman"/>
          <w:b/>
          <w:color w:val="3A3A3A" w:themeColor="background2" w:themeShade="40"/>
          <w:sz w:val="22"/>
          <w:szCs w:val="22"/>
        </w:rPr>
        <w:t>.</w:t>
      </w:r>
      <w:r w:rsidRPr="003F5DBF">
        <w:rPr>
          <w:rFonts w:ascii="Times New Roman" w:eastAsia="Times New Roman" w:hAnsi="Times New Roman" w:cs="Times New Roman"/>
          <w:b/>
          <w:color w:val="3A3A3A" w:themeColor="background2" w:themeShade="40"/>
          <w:sz w:val="22"/>
          <w:szCs w:val="22"/>
        </w:rPr>
        <w:t>p</w:t>
      </w:r>
      <w:r w:rsidR="00C56EF2">
        <w:rPr>
          <w:rFonts w:ascii="Times New Roman" w:eastAsia="Times New Roman" w:hAnsi="Times New Roman" w:cs="Times New Roman"/>
          <w:b/>
          <w:color w:val="3A3A3A" w:themeColor="background2" w:themeShade="40"/>
          <w:sz w:val="22"/>
          <w:szCs w:val="22"/>
        </w:rPr>
        <w:t>.</w:t>
      </w:r>
      <w:r w:rsidRPr="003F5DBF">
        <w:rPr>
          <w:rFonts w:ascii="Times New Roman" w:eastAsia="Times New Roman" w:hAnsi="Times New Roman" w:cs="Times New Roman"/>
          <w:b/>
          <w:color w:val="3A3A3A" w:themeColor="background2" w:themeShade="40"/>
          <w:sz w:val="22"/>
          <w:szCs w:val="22"/>
        </w:rPr>
        <w:t>A</w:t>
      </w:r>
      <w:r w:rsidR="00C56EF2">
        <w:rPr>
          <w:rFonts w:ascii="Times New Roman" w:eastAsia="Times New Roman" w:hAnsi="Times New Roman" w:cs="Times New Roman"/>
          <w:b/>
          <w:color w:val="3A3A3A" w:themeColor="background2" w:themeShade="40"/>
          <w:sz w:val="22"/>
          <w:szCs w:val="22"/>
        </w:rPr>
        <w:t>.</w:t>
      </w:r>
      <w:r w:rsidRPr="003F5DBF">
        <w:rPr>
          <w:rFonts w:ascii="Times New Roman" w:eastAsia="Times New Roman" w:hAnsi="Times New Roman" w:cs="Times New Roman"/>
          <w:b/>
          <w:color w:val="3A3A3A" w:themeColor="background2" w:themeShade="40"/>
          <w:sz w:val="22"/>
          <w:szCs w:val="22"/>
        </w:rPr>
        <w:t xml:space="preserve"> - Società benefit</w:t>
      </w:r>
      <w:r w:rsidRPr="003F5DBF">
        <w:rPr>
          <w:rFonts w:ascii="Times New Roman" w:eastAsia="Times New Roman" w:hAnsi="Times New Roman" w:cs="Times New Roman"/>
          <w:color w:val="3A3A3A" w:themeColor="background2" w:themeShade="40"/>
          <w:sz w:val="22"/>
          <w:szCs w:val="22"/>
        </w:rPr>
        <w:t xml:space="preserve"> </w:t>
      </w:r>
    </w:p>
    <w:p w14:paraId="6692D95F" w14:textId="77777777" w:rsidR="00D617D3" w:rsidRPr="003F5DBF" w:rsidRDefault="00D617D3" w:rsidP="00D617D3">
      <w:pPr>
        <w:jc w:val="both"/>
        <w:rPr>
          <w:rFonts w:ascii="Times New Roman" w:eastAsia="Times New Roman" w:hAnsi="Times New Roman" w:cs="Times New Roman"/>
          <w:color w:val="3A3A3A" w:themeColor="background2" w:themeShade="40"/>
          <w:sz w:val="22"/>
          <w:szCs w:val="22"/>
        </w:rPr>
      </w:pPr>
      <w:r w:rsidRPr="003F5DBF">
        <w:rPr>
          <w:rFonts w:ascii="Times New Roman" w:eastAsia="Times New Roman" w:hAnsi="Times New Roman" w:cs="Times New Roman"/>
          <w:color w:val="3A3A3A" w:themeColor="background2" w:themeShade="40"/>
          <w:sz w:val="22"/>
          <w:szCs w:val="22"/>
        </w:rPr>
        <w:t xml:space="preserve">ETRA è una multiutility a totale proprietà pubblica, cioè una società soggetta alla direzione e al coordinamento dei Comuni soci in base all’art. 30 del TUEL (Conferenza dei Servizi), che svolge una serie di servizi di rilevanza pubblica. L’attività di ETRA si svolge nel bacino del fiume Brenta, che si estende dall’Altopiano di Asiago ai Colli Euganei, comprendendo l’area del Bassanese, l’Alta Padovana e la cintura urbana di Padova. Sono 69 i Comuni soci e una Unione montana. 68 Comuni sono serviti dal Servizio idrico integrato che comprende la captazione, la potabilizzazione, la distribuzione, l’adduzione delle acque e la loro raccolta e depurazione.  62 Comuni usufruiscono del Servizio rifiuti che si concretizza con la progettazione, gestione e controllo del servizio di raccolta differenziata delle principali frazioni di rifiuti. ETRA si occupa anche di energie alternative e di produzione da fonti rinnovabili. Gestisce 72 impianti fotovoltaici in 29 Comuni. </w:t>
      </w:r>
    </w:p>
    <w:p w14:paraId="2AA9EC2D" w14:textId="77777777" w:rsidR="00D617D3" w:rsidRPr="003F5DBF" w:rsidRDefault="00D617D3" w:rsidP="00D617D3">
      <w:pPr>
        <w:jc w:val="both"/>
        <w:rPr>
          <w:rFonts w:ascii="Times New Roman" w:eastAsia="Times New Roman" w:hAnsi="Times New Roman" w:cs="Times New Roman"/>
          <w:color w:val="3A3A3A" w:themeColor="background2" w:themeShade="40"/>
          <w:sz w:val="22"/>
          <w:szCs w:val="22"/>
        </w:rPr>
      </w:pPr>
      <w:r w:rsidRPr="003F5DBF">
        <w:rPr>
          <w:rFonts w:ascii="Times New Roman" w:eastAsia="Times New Roman" w:hAnsi="Times New Roman" w:cs="Times New Roman"/>
          <w:color w:val="3A3A3A" w:themeColor="background2" w:themeShade="40"/>
          <w:sz w:val="22"/>
          <w:szCs w:val="22"/>
        </w:rPr>
        <w:t xml:space="preserve">Da gennaio 2024 è Società Benefit che significa diventare un modello di sostenibilità, innovazione e qualità dei servizi per contribuire al benessere della comunità e allo sviluppo del </w:t>
      </w:r>
      <w:r w:rsidRPr="003F5DBF">
        <w:rPr>
          <w:rFonts w:ascii="Times New Roman" w:eastAsia="Times New Roman" w:hAnsi="Times New Roman" w:cs="Times New Roman"/>
          <w:bCs/>
          <w:color w:val="3A3A3A" w:themeColor="background2" w:themeShade="40"/>
          <w:sz w:val="22"/>
          <w:szCs w:val="22"/>
        </w:rPr>
        <w:t xml:space="preserve">Territorio, promuovere la cultura Ambientale, coinvolgere le Persone </w:t>
      </w:r>
      <w:r w:rsidRPr="003F5DBF">
        <w:rPr>
          <w:rFonts w:ascii="Times New Roman" w:eastAsia="Times New Roman" w:hAnsi="Times New Roman" w:cs="Times New Roman"/>
          <w:color w:val="3A3A3A" w:themeColor="background2" w:themeShade="40"/>
          <w:sz w:val="22"/>
          <w:szCs w:val="22"/>
        </w:rPr>
        <w:t xml:space="preserve">attraverso scelte coraggiose, responsabili e trasparenti, coerenti con la nostra identità. In questo modo ETRA punta a essere modello di impresa inclusiva, bene comune del territorio e strumento finalizzato al benessere sociale. ETRA, dunque, lavora ogni giorno per essere </w:t>
      </w:r>
      <w:sdt>
        <w:sdtPr>
          <w:rPr>
            <w:rFonts w:ascii="Times New Roman" w:hAnsi="Times New Roman" w:cs="Times New Roman"/>
            <w:color w:val="3A3A3A" w:themeColor="background2" w:themeShade="40"/>
            <w:sz w:val="22"/>
            <w:szCs w:val="22"/>
          </w:rPr>
          <w:tag w:val="goog_rdk_5"/>
          <w:id w:val="-1263373631"/>
        </w:sdtPr>
        <w:sdtEndPr/>
        <w:sdtContent/>
      </w:sdt>
      <w:r w:rsidRPr="003F5DBF">
        <w:rPr>
          <w:rFonts w:ascii="Times New Roman" w:eastAsia="Times New Roman" w:hAnsi="Times New Roman" w:cs="Times New Roman"/>
          <w:color w:val="3A3A3A" w:themeColor="background2" w:themeShade="40"/>
          <w:sz w:val="22"/>
          <w:szCs w:val="22"/>
        </w:rPr>
        <w:t>promotori di cambiamenti virtuosi, con e per il Territorio, in un mondo sempre più attento alla tutela dell’Ambiente e alla crescita delle Persone.</w:t>
      </w:r>
    </w:p>
    <w:p w14:paraId="53D64BF2" w14:textId="77777777" w:rsidR="00D617D3" w:rsidRPr="003F5DBF" w:rsidRDefault="00D617D3" w:rsidP="00D617D3">
      <w:pPr>
        <w:jc w:val="both"/>
        <w:rPr>
          <w:rFonts w:ascii="Times New Roman" w:eastAsia="Times New Roman" w:hAnsi="Times New Roman" w:cs="Times New Roman"/>
          <w:color w:val="3A3A3A" w:themeColor="background2" w:themeShade="40"/>
          <w:sz w:val="22"/>
          <w:szCs w:val="22"/>
        </w:rPr>
      </w:pPr>
    </w:p>
    <w:p w14:paraId="5F2C5555" w14:textId="77777777" w:rsidR="00D617D3" w:rsidRPr="003F5DBF" w:rsidRDefault="006348E5" w:rsidP="00D617D3">
      <w:pPr>
        <w:jc w:val="both"/>
        <w:rPr>
          <w:rFonts w:ascii="Times New Roman" w:eastAsia="Times New Roman" w:hAnsi="Times New Roman" w:cs="Times New Roman"/>
          <w:b/>
          <w:color w:val="3A3A3A" w:themeColor="background2" w:themeShade="40"/>
          <w:sz w:val="22"/>
          <w:szCs w:val="22"/>
        </w:rPr>
      </w:pPr>
      <w:sdt>
        <w:sdtPr>
          <w:rPr>
            <w:rFonts w:ascii="Times New Roman" w:hAnsi="Times New Roman" w:cs="Times New Roman"/>
            <w:color w:val="3A3A3A" w:themeColor="background2" w:themeShade="40"/>
            <w:sz w:val="22"/>
            <w:szCs w:val="22"/>
          </w:rPr>
          <w:tag w:val="goog_rdk_6"/>
          <w:id w:val="-369687635"/>
        </w:sdtPr>
        <w:sdtEndPr/>
        <w:sdtContent/>
      </w:sdt>
      <w:r w:rsidR="00D617D3" w:rsidRPr="003F5DBF">
        <w:rPr>
          <w:rFonts w:ascii="Times New Roman" w:eastAsia="Times New Roman" w:hAnsi="Times New Roman" w:cs="Times New Roman"/>
          <w:b/>
          <w:color w:val="3A3A3A" w:themeColor="background2" w:themeShade="40"/>
          <w:sz w:val="22"/>
          <w:szCs w:val="22"/>
        </w:rPr>
        <w:t xml:space="preserve">BTS Biogas </w:t>
      </w:r>
    </w:p>
    <w:p w14:paraId="42D29697" w14:textId="77777777" w:rsidR="00D617D3" w:rsidRDefault="00D617D3" w:rsidP="00D617D3">
      <w:pPr>
        <w:pBdr>
          <w:top w:val="nil"/>
          <w:left w:val="nil"/>
          <w:bottom w:val="nil"/>
          <w:right w:val="nil"/>
          <w:between w:val="nil"/>
        </w:pBdr>
        <w:jc w:val="both"/>
        <w:rPr>
          <w:rFonts w:ascii="Times New Roman" w:eastAsia="Times New Roman" w:hAnsi="Times New Roman" w:cs="Times New Roman"/>
          <w:color w:val="333333"/>
        </w:rPr>
      </w:pPr>
      <w:r w:rsidRPr="003F5DBF">
        <w:rPr>
          <w:rFonts w:ascii="Times New Roman" w:eastAsia="Times New Roman" w:hAnsi="Times New Roman" w:cs="Times New Roman"/>
          <w:b/>
          <w:color w:val="3A3A3A" w:themeColor="background2" w:themeShade="40"/>
          <w:sz w:val="22"/>
          <w:szCs w:val="22"/>
        </w:rPr>
        <w:br/>
      </w:r>
      <w:r>
        <w:rPr>
          <w:rFonts w:ascii="Times New Roman" w:eastAsia="Times New Roman" w:hAnsi="Times New Roman" w:cs="Times New Roman"/>
          <w:color w:val="333333"/>
        </w:rPr>
        <w:t>BTS è un pioniere italiano e leader globale nella digestione anaerobica, con oltre 25 anni di esperienza nelle soluzioni per le energie rinnovabili. Attraverso la sua controllata BTS Biogas, l’azienda progetta, costruisce e manutiene, con il proprio servizio di assistenza, impianti di biogas e biometano in Europa, Nord America e Asia orientale, con oltre 270 impianti realizzati. Gli impianti di BTS convertono sottoprodotti e rifiuti organici provenienti soprattutto da aziende agricole, industrie agroalimentari e comuni in energie pulita e fertilizzanti di alta qualità, promuovendo la transizione verso un’economia circolare.</w:t>
      </w:r>
    </w:p>
    <w:p w14:paraId="23E7EA3C" w14:textId="77777777" w:rsidR="00D617D3" w:rsidRDefault="00D617D3" w:rsidP="00D617D3">
      <w:pPr>
        <w:pBdr>
          <w:top w:val="nil"/>
          <w:left w:val="nil"/>
          <w:bottom w:val="nil"/>
          <w:right w:val="nil"/>
          <w:between w:val="nil"/>
        </w:pBdr>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Nel 2022, BTS ha ampliato le proprie attività con la creazione di BTS </w:t>
      </w:r>
      <w:proofErr w:type="spellStart"/>
      <w:r>
        <w:rPr>
          <w:rFonts w:ascii="Times New Roman" w:eastAsia="Times New Roman" w:hAnsi="Times New Roman" w:cs="Times New Roman"/>
          <w:color w:val="333333"/>
        </w:rPr>
        <w:t>DevCo</w:t>
      </w:r>
      <w:proofErr w:type="spellEnd"/>
      <w:r>
        <w:rPr>
          <w:rFonts w:ascii="Times New Roman" w:eastAsia="Times New Roman" w:hAnsi="Times New Roman" w:cs="Times New Roman"/>
          <w:color w:val="333333"/>
        </w:rPr>
        <w:t>, una divisione dedicata allo sviluppo e alla gestione diretta di impianti di digestione anaerobica.</w:t>
      </w:r>
      <w:sdt>
        <w:sdtPr>
          <w:tag w:val="goog_rdk_50"/>
          <w:id w:val="-551612366"/>
        </w:sdtPr>
        <w:sdtEndPr/>
        <w:sdtContent>
          <w:r>
            <w:rPr>
              <w:rFonts w:ascii="Times New Roman" w:eastAsia="Times New Roman" w:hAnsi="Times New Roman" w:cs="Times New Roman"/>
              <w:color w:val="333333"/>
            </w:rPr>
            <w:t xml:space="preserve"> Attualmente BTS </w:t>
          </w:r>
          <w:proofErr w:type="spellStart"/>
          <w:r>
            <w:rPr>
              <w:rFonts w:ascii="Times New Roman" w:eastAsia="Times New Roman" w:hAnsi="Times New Roman" w:cs="Times New Roman"/>
              <w:color w:val="333333"/>
            </w:rPr>
            <w:t>DevCo</w:t>
          </w:r>
          <w:proofErr w:type="spellEnd"/>
          <w:r>
            <w:rPr>
              <w:rFonts w:ascii="Times New Roman" w:eastAsia="Times New Roman" w:hAnsi="Times New Roman" w:cs="Times New Roman"/>
              <w:color w:val="333333"/>
            </w:rPr>
            <w:t xml:space="preserve"> gestisce 9 </w:t>
          </w:r>
          <w:sdt>
            <w:sdtPr>
              <w:tag w:val="goog_rdk_51"/>
              <w:id w:val="-1196505204"/>
            </w:sdtPr>
            <w:sdtEndPr/>
            <w:sdtContent>
              <w:r>
                <w:rPr>
                  <w:rFonts w:ascii="Times New Roman" w:eastAsia="Times New Roman" w:hAnsi="Times New Roman" w:cs="Times New Roman"/>
                  <w:color w:val="333333"/>
                </w:rPr>
                <w:t>impianti</w:t>
              </w:r>
            </w:sdtContent>
          </w:sdt>
          <w:r>
            <w:rPr>
              <w:rFonts w:ascii="Times New Roman" w:eastAsia="Times New Roman" w:hAnsi="Times New Roman" w:cs="Times New Roman"/>
              <w:color w:val="333333"/>
            </w:rPr>
            <w:t xml:space="preserve"> di proprietà, dislocati nel nord Italia, per una produzione totale a regime di 30 milioni di metri cubi di biometano l’anno.</w:t>
          </w:r>
        </w:sdtContent>
      </w:sdt>
    </w:p>
    <w:p w14:paraId="1311CF4D" w14:textId="77777777" w:rsidR="00D617D3" w:rsidRDefault="00D617D3" w:rsidP="00D617D3">
      <w:pPr>
        <w:pBdr>
          <w:top w:val="nil"/>
          <w:left w:val="nil"/>
          <w:bottom w:val="nil"/>
          <w:right w:val="nil"/>
          <w:between w:val="nil"/>
        </w:pBdr>
        <w:jc w:val="both"/>
        <w:rPr>
          <w:rFonts w:ascii="Times New Roman" w:eastAsia="Times New Roman" w:hAnsi="Times New Roman" w:cs="Times New Roman"/>
          <w:b/>
          <w:bCs/>
          <w:sz w:val="20"/>
          <w:szCs w:val="20"/>
          <w:highlight w:val="yellow"/>
        </w:rPr>
      </w:pPr>
      <w:r>
        <w:rPr>
          <w:rFonts w:ascii="Times New Roman" w:eastAsia="Times New Roman" w:hAnsi="Times New Roman" w:cs="Times New Roman"/>
          <w:color w:val="333333"/>
        </w:rPr>
        <w:t>Con un forte impegno per la sostenibilità e l’innovazione, BTS continua a guidare la rivoluzione globale del biometano, offrendo soluzioni energetiche ecocompatibili e scalabili per un futuro a basse emissioni di carbonio. Il team del Gruppo BTS, che ha sedi in Italia (Affi), in Francia (</w:t>
      </w:r>
      <w:proofErr w:type="spellStart"/>
      <w:r>
        <w:rPr>
          <w:rFonts w:ascii="Times New Roman" w:eastAsia="Times New Roman" w:hAnsi="Times New Roman" w:cs="Times New Roman"/>
          <w:color w:val="333333"/>
        </w:rPr>
        <w:t>Oullins</w:t>
      </w:r>
      <w:proofErr w:type="spellEnd"/>
      <w:r>
        <w:rPr>
          <w:rFonts w:ascii="Times New Roman" w:eastAsia="Times New Roman" w:hAnsi="Times New Roman" w:cs="Times New Roman"/>
          <w:color w:val="333333"/>
        </w:rPr>
        <w:t xml:space="preserve"> </w:t>
      </w:r>
      <w:proofErr w:type="spellStart"/>
      <w:r>
        <w:rPr>
          <w:rFonts w:ascii="Times New Roman" w:eastAsia="Times New Roman" w:hAnsi="Times New Roman" w:cs="Times New Roman"/>
          <w:color w:val="333333"/>
        </w:rPr>
        <w:t>Cedex</w:t>
      </w:r>
      <w:proofErr w:type="spellEnd"/>
      <w:r>
        <w:rPr>
          <w:rFonts w:ascii="Times New Roman" w:eastAsia="Times New Roman" w:hAnsi="Times New Roman" w:cs="Times New Roman"/>
          <w:color w:val="333333"/>
        </w:rPr>
        <w:t>), Regno Unito (Leeds) e Stati Uniti (Annapolis), conta circa 150 professionisti di talento, capaci di integrare approcci e competenze multidisciplinari al servizio dei clienti.</w:t>
      </w:r>
    </w:p>
    <w:p w14:paraId="2D4A65BC" w14:textId="77777777" w:rsidR="00D617D3" w:rsidRPr="003F5DBF" w:rsidRDefault="00D617D3" w:rsidP="00D617D3">
      <w:pPr>
        <w:jc w:val="both"/>
        <w:rPr>
          <w:rFonts w:ascii="Times New Roman" w:eastAsia="Times New Roman" w:hAnsi="Times New Roman" w:cs="Times New Roman"/>
          <w:b/>
          <w:color w:val="3A3A3A" w:themeColor="background2" w:themeShade="40"/>
          <w:sz w:val="22"/>
          <w:szCs w:val="22"/>
        </w:rPr>
      </w:pPr>
    </w:p>
    <w:sectPr w:rsidR="00D617D3" w:rsidRPr="003F5DBF" w:rsidSect="00683C37">
      <w:footerReference w:type="default" r:id="rId11"/>
      <w:pgSz w:w="11906" w:h="16838"/>
      <w:pgMar w:top="1417"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64779" w14:textId="77777777" w:rsidR="006348E5" w:rsidRDefault="006348E5" w:rsidP="007E3A02">
      <w:r>
        <w:separator/>
      </w:r>
    </w:p>
  </w:endnote>
  <w:endnote w:type="continuationSeparator" w:id="0">
    <w:p w14:paraId="4A8A764B" w14:textId="77777777" w:rsidR="006348E5" w:rsidRDefault="006348E5" w:rsidP="007E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266A" w14:textId="6ADB7B82" w:rsidR="00964C24" w:rsidRDefault="00964C24"/>
  <w:p w14:paraId="011E239D" w14:textId="7C48FB66" w:rsidR="00964C24" w:rsidRDefault="00964C2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1806"/>
      <w:gridCol w:w="1686"/>
      <w:gridCol w:w="1406"/>
      <w:gridCol w:w="1459"/>
      <w:gridCol w:w="1462"/>
    </w:tblGrid>
    <w:tr w:rsidR="00964C24" w14:paraId="654FCC28" w14:textId="77777777" w:rsidTr="00964C24">
      <w:tc>
        <w:tcPr>
          <w:tcW w:w="1604" w:type="dxa"/>
        </w:tcPr>
        <w:p w14:paraId="2806A589" w14:textId="1241BDFD" w:rsidR="00964C24" w:rsidRDefault="00964C24">
          <w:r w:rsidRPr="00697709">
            <w:rPr>
              <w:rFonts w:ascii="Times New Roman" w:eastAsia="Times New Roman" w:hAnsi="Times New Roman" w:cs="Times New Roman"/>
              <w:noProof/>
              <w:kern w:val="0"/>
              <w:lang w:eastAsia="it-IT"/>
              <w14:ligatures w14:val="none"/>
            </w:rPr>
            <w:drawing>
              <wp:anchor distT="0" distB="0" distL="114300" distR="114300" simplePos="0" relativeHeight="251674624" behindDoc="0" locked="0" layoutInCell="1" allowOverlap="1" wp14:anchorId="7F2241A9" wp14:editId="0F3BA257">
                <wp:simplePos x="0" y="0"/>
                <wp:positionH relativeFrom="margin">
                  <wp:posOffset>0</wp:posOffset>
                </wp:positionH>
                <wp:positionV relativeFrom="margin">
                  <wp:posOffset>249555</wp:posOffset>
                </wp:positionV>
                <wp:extent cx="1017905" cy="224155"/>
                <wp:effectExtent l="0" t="0" r="0" b="444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7905" cy="2241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04" w:type="dxa"/>
        </w:tcPr>
        <w:p w14:paraId="22093397" w14:textId="0B78BF33" w:rsidR="00964C24" w:rsidRDefault="00964C24">
          <w:r w:rsidRPr="00697709">
            <w:rPr>
              <w:rFonts w:ascii="Times New Roman" w:eastAsia="Times New Roman" w:hAnsi="Times New Roman" w:cs="Times New Roman"/>
              <w:noProof/>
              <w:kern w:val="0"/>
              <w:lang w:eastAsia="it-IT"/>
              <w14:ligatures w14:val="none"/>
            </w:rPr>
            <w:drawing>
              <wp:anchor distT="0" distB="0" distL="114300" distR="114300" simplePos="0" relativeHeight="251672576" behindDoc="0" locked="0" layoutInCell="1" allowOverlap="1" wp14:anchorId="324BCC50" wp14:editId="3A1A01DA">
                <wp:simplePos x="0" y="0"/>
                <wp:positionH relativeFrom="margin">
                  <wp:posOffset>-635</wp:posOffset>
                </wp:positionH>
                <wp:positionV relativeFrom="margin">
                  <wp:posOffset>231775</wp:posOffset>
                </wp:positionV>
                <wp:extent cx="1004570" cy="253365"/>
                <wp:effectExtent l="0" t="0" r="508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4570" cy="2533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05" w:type="dxa"/>
        </w:tcPr>
        <w:p w14:paraId="560CF1E2" w14:textId="6BB2B7BB" w:rsidR="00964C24" w:rsidRDefault="00964C24">
          <w:r>
            <w:rPr>
              <w:noProof/>
            </w:rPr>
            <w:drawing>
              <wp:anchor distT="0" distB="0" distL="114300" distR="114300" simplePos="0" relativeHeight="251670528" behindDoc="0" locked="0" layoutInCell="1" allowOverlap="1" wp14:anchorId="423F5E98" wp14:editId="73211DC9">
                <wp:simplePos x="0" y="0"/>
                <wp:positionH relativeFrom="margin">
                  <wp:posOffset>-2540</wp:posOffset>
                </wp:positionH>
                <wp:positionV relativeFrom="margin">
                  <wp:posOffset>126886</wp:posOffset>
                </wp:positionV>
                <wp:extent cx="933450" cy="42672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3" cstate="print">
                          <a:extLst>
                            <a:ext uri="{28A0092B-C50C-407E-A947-70E740481C1C}">
                              <a14:useLocalDpi xmlns:a14="http://schemas.microsoft.com/office/drawing/2010/main" val="0"/>
                            </a:ext>
                          </a:extLst>
                        </a:blip>
                        <a:srcRect t="23809" b="30476"/>
                        <a:stretch/>
                      </pic:blipFill>
                      <pic:spPr bwMode="auto">
                        <a:xfrm>
                          <a:off x="0" y="0"/>
                          <a:ext cx="933450"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605" w:type="dxa"/>
        </w:tcPr>
        <w:p w14:paraId="49A856A0" w14:textId="3008B2C9" w:rsidR="00964C24" w:rsidRDefault="00964C24">
          <w:r>
            <w:rPr>
              <w:noProof/>
            </w:rPr>
            <w:drawing>
              <wp:anchor distT="0" distB="0" distL="114300" distR="114300" simplePos="0" relativeHeight="251668480" behindDoc="0" locked="0" layoutInCell="1" allowOverlap="1" wp14:anchorId="58BFA4E1" wp14:editId="3B1648CB">
                <wp:simplePos x="0" y="0"/>
                <wp:positionH relativeFrom="margin">
                  <wp:posOffset>122555</wp:posOffset>
                </wp:positionH>
                <wp:positionV relativeFrom="margin">
                  <wp:posOffset>278765</wp:posOffset>
                </wp:positionV>
                <wp:extent cx="405765" cy="160655"/>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5765" cy="160655"/>
                        </a:xfrm>
                        <a:prstGeom prst="rect">
                          <a:avLst/>
                        </a:prstGeom>
                      </pic:spPr>
                    </pic:pic>
                  </a:graphicData>
                </a:graphic>
                <wp14:sizeRelH relativeFrom="margin">
                  <wp14:pctWidth>0</wp14:pctWidth>
                </wp14:sizeRelH>
                <wp14:sizeRelV relativeFrom="margin">
                  <wp14:pctHeight>0</wp14:pctHeight>
                </wp14:sizeRelV>
              </wp:anchor>
            </w:drawing>
          </w:r>
        </w:p>
      </w:tc>
      <w:tc>
        <w:tcPr>
          <w:tcW w:w="1605" w:type="dxa"/>
        </w:tcPr>
        <w:p w14:paraId="5A1004B3" w14:textId="367EEAFA" w:rsidR="00964C24" w:rsidRDefault="00964C24">
          <w:r>
            <w:rPr>
              <w:noProof/>
            </w:rPr>
            <w:drawing>
              <wp:anchor distT="0" distB="0" distL="114300" distR="114300" simplePos="0" relativeHeight="251666432" behindDoc="0" locked="0" layoutInCell="1" allowOverlap="1" wp14:anchorId="3E094326" wp14:editId="64B16202">
                <wp:simplePos x="0" y="0"/>
                <wp:positionH relativeFrom="margin">
                  <wp:posOffset>89535</wp:posOffset>
                </wp:positionH>
                <wp:positionV relativeFrom="margin">
                  <wp:posOffset>233045</wp:posOffset>
                </wp:positionV>
                <wp:extent cx="531495" cy="233045"/>
                <wp:effectExtent l="0" t="0" r="1905"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1495" cy="233045"/>
                        </a:xfrm>
                        <a:prstGeom prst="rect">
                          <a:avLst/>
                        </a:prstGeom>
                      </pic:spPr>
                    </pic:pic>
                  </a:graphicData>
                </a:graphic>
                <wp14:sizeRelH relativeFrom="margin">
                  <wp14:pctWidth>0</wp14:pctWidth>
                </wp14:sizeRelH>
                <wp14:sizeRelV relativeFrom="margin">
                  <wp14:pctHeight>0</wp14:pctHeight>
                </wp14:sizeRelV>
              </wp:anchor>
            </w:drawing>
          </w:r>
        </w:p>
      </w:tc>
      <w:tc>
        <w:tcPr>
          <w:tcW w:w="1605" w:type="dxa"/>
        </w:tcPr>
        <w:p w14:paraId="3391394B" w14:textId="14FE8D0E" w:rsidR="00964C24" w:rsidRPr="00964C24" w:rsidRDefault="00964C24" w:rsidP="00964C24">
          <w:pPr>
            <w:spacing w:before="100" w:beforeAutospacing="1" w:after="100" w:afterAutospacing="1"/>
            <w:rPr>
              <w:rFonts w:ascii="Times New Roman" w:eastAsia="Times New Roman" w:hAnsi="Times New Roman" w:cs="Times New Roman"/>
              <w:kern w:val="0"/>
              <w:lang w:eastAsia="it-IT"/>
              <w14:ligatures w14:val="none"/>
            </w:rPr>
          </w:pPr>
          <w:r w:rsidRPr="00964C24">
            <w:rPr>
              <w:rFonts w:ascii="Times New Roman" w:eastAsia="Times New Roman" w:hAnsi="Times New Roman" w:cs="Times New Roman"/>
              <w:noProof/>
              <w:kern w:val="0"/>
              <w:lang w:eastAsia="it-IT"/>
              <w14:ligatures w14:val="none"/>
            </w:rPr>
            <w:drawing>
              <wp:anchor distT="0" distB="0" distL="114300" distR="114300" simplePos="0" relativeHeight="251664384" behindDoc="0" locked="0" layoutInCell="1" allowOverlap="1" wp14:anchorId="2EF61ACD" wp14:editId="39A303A3">
                <wp:simplePos x="0" y="0"/>
                <wp:positionH relativeFrom="margin">
                  <wp:posOffset>71264</wp:posOffset>
                </wp:positionH>
                <wp:positionV relativeFrom="margin">
                  <wp:posOffset>201653</wp:posOffset>
                </wp:positionV>
                <wp:extent cx="539115" cy="262255"/>
                <wp:effectExtent l="0" t="0" r="0" b="4445"/>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 cy="262255"/>
                        </a:xfrm>
                        <a:prstGeom prst="rect">
                          <a:avLst/>
                        </a:prstGeom>
                        <a:noFill/>
                        <a:ln>
                          <a:noFill/>
                        </a:ln>
                      </pic:spPr>
                    </pic:pic>
                  </a:graphicData>
                </a:graphic>
              </wp:anchor>
            </w:drawing>
          </w:r>
        </w:p>
      </w:tc>
    </w:tr>
  </w:tbl>
  <w:p w14:paraId="16E16F32" w14:textId="77777777" w:rsidR="00964C24" w:rsidRDefault="00964C2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1956"/>
      <w:gridCol w:w="1909"/>
      <w:gridCol w:w="1849"/>
      <w:gridCol w:w="1863"/>
    </w:tblGrid>
    <w:tr w:rsidR="00683C37" w14:paraId="351E04BC" w14:textId="77777777" w:rsidTr="00964C24">
      <w:tc>
        <w:tcPr>
          <w:tcW w:w="2061" w:type="dxa"/>
        </w:tcPr>
        <w:p w14:paraId="29934446" w14:textId="13A0935B" w:rsidR="00683C37" w:rsidRPr="00697709" w:rsidRDefault="00683C37" w:rsidP="00683C37">
          <w:pPr>
            <w:spacing w:before="100" w:beforeAutospacing="1" w:after="100" w:afterAutospacing="1"/>
            <w:rPr>
              <w:rFonts w:ascii="Times New Roman" w:eastAsia="Times New Roman" w:hAnsi="Times New Roman" w:cs="Times New Roman"/>
              <w:kern w:val="0"/>
              <w:lang w:eastAsia="it-IT"/>
              <w14:ligatures w14:val="none"/>
            </w:rPr>
          </w:pPr>
        </w:p>
        <w:p w14:paraId="11AF0727" w14:textId="77777777" w:rsidR="00683C37" w:rsidRDefault="00683C37" w:rsidP="00683C37"/>
      </w:tc>
      <w:tc>
        <w:tcPr>
          <w:tcW w:w="1956" w:type="dxa"/>
        </w:tcPr>
        <w:p w14:paraId="02B20EDB" w14:textId="05F10C7D" w:rsidR="00683C37" w:rsidRPr="00697709" w:rsidRDefault="00683C37" w:rsidP="00683C37">
          <w:pPr>
            <w:spacing w:before="100" w:beforeAutospacing="1" w:after="100" w:afterAutospacing="1"/>
            <w:rPr>
              <w:rFonts w:ascii="Times New Roman" w:eastAsia="Times New Roman" w:hAnsi="Times New Roman" w:cs="Times New Roman"/>
              <w:kern w:val="0"/>
              <w:lang w:eastAsia="it-IT"/>
              <w14:ligatures w14:val="none"/>
            </w:rPr>
          </w:pPr>
        </w:p>
        <w:p w14:paraId="03F09711" w14:textId="77777777" w:rsidR="00683C37" w:rsidRDefault="00683C37" w:rsidP="00683C37"/>
      </w:tc>
      <w:tc>
        <w:tcPr>
          <w:tcW w:w="1909" w:type="dxa"/>
        </w:tcPr>
        <w:p w14:paraId="3FE020CC" w14:textId="4AE5C490" w:rsidR="00683C37" w:rsidRDefault="00683C37" w:rsidP="00683C37"/>
      </w:tc>
      <w:tc>
        <w:tcPr>
          <w:tcW w:w="1849" w:type="dxa"/>
        </w:tcPr>
        <w:p w14:paraId="145716BB" w14:textId="5049888F" w:rsidR="00683C37" w:rsidRDefault="00683C37" w:rsidP="00683C37"/>
      </w:tc>
      <w:tc>
        <w:tcPr>
          <w:tcW w:w="1863" w:type="dxa"/>
        </w:tcPr>
        <w:p w14:paraId="6C0FCC50" w14:textId="2FAA6203" w:rsidR="00683C37" w:rsidRDefault="00683C37" w:rsidP="00683C37"/>
      </w:tc>
    </w:tr>
  </w:tbl>
  <w:p w14:paraId="67DB000D" w14:textId="77777777" w:rsidR="007E3A02" w:rsidRDefault="007E3A02" w:rsidP="00683C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D8D02" w14:textId="77777777" w:rsidR="006348E5" w:rsidRDefault="006348E5" w:rsidP="007E3A02">
      <w:r>
        <w:separator/>
      </w:r>
    </w:p>
  </w:footnote>
  <w:footnote w:type="continuationSeparator" w:id="0">
    <w:p w14:paraId="323A1FE7" w14:textId="77777777" w:rsidR="006348E5" w:rsidRDefault="006348E5" w:rsidP="007E3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80AEF"/>
    <w:multiLevelType w:val="multilevel"/>
    <w:tmpl w:val="226290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A9"/>
    <w:rsid w:val="00003684"/>
    <w:rsid w:val="00023E95"/>
    <w:rsid w:val="000350BB"/>
    <w:rsid w:val="000440E8"/>
    <w:rsid w:val="00047E4C"/>
    <w:rsid w:val="00052F8E"/>
    <w:rsid w:val="00053A6A"/>
    <w:rsid w:val="00062BDC"/>
    <w:rsid w:val="00090810"/>
    <w:rsid w:val="000A4C27"/>
    <w:rsid w:val="000C2D89"/>
    <w:rsid w:val="000C75C0"/>
    <w:rsid w:val="000E75DF"/>
    <w:rsid w:val="000F614C"/>
    <w:rsid w:val="0013428F"/>
    <w:rsid w:val="00170A29"/>
    <w:rsid w:val="00192168"/>
    <w:rsid w:val="00193217"/>
    <w:rsid w:val="001D1F32"/>
    <w:rsid w:val="001F51C9"/>
    <w:rsid w:val="0020151E"/>
    <w:rsid w:val="002408AE"/>
    <w:rsid w:val="002517C2"/>
    <w:rsid w:val="002B5F3C"/>
    <w:rsid w:val="00356922"/>
    <w:rsid w:val="003C1CCF"/>
    <w:rsid w:val="003C73ED"/>
    <w:rsid w:val="003E1F12"/>
    <w:rsid w:val="003E73AE"/>
    <w:rsid w:val="00427551"/>
    <w:rsid w:val="004A23EB"/>
    <w:rsid w:val="004C1CAD"/>
    <w:rsid w:val="00522300"/>
    <w:rsid w:val="00535F4A"/>
    <w:rsid w:val="005668C8"/>
    <w:rsid w:val="005923F3"/>
    <w:rsid w:val="00594AB4"/>
    <w:rsid w:val="00596124"/>
    <w:rsid w:val="005C35E7"/>
    <w:rsid w:val="005D7ED4"/>
    <w:rsid w:val="005E101A"/>
    <w:rsid w:val="005E5A3E"/>
    <w:rsid w:val="005F39CA"/>
    <w:rsid w:val="006348E5"/>
    <w:rsid w:val="0064473D"/>
    <w:rsid w:val="00683C37"/>
    <w:rsid w:val="006B0566"/>
    <w:rsid w:val="006B50D0"/>
    <w:rsid w:val="006B58AA"/>
    <w:rsid w:val="006C0990"/>
    <w:rsid w:val="006C316C"/>
    <w:rsid w:val="006E0B5C"/>
    <w:rsid w:val="00710F05"/>
    <w:rsid w:val="00711D69"/>
    <w:rsid w:val="007156B9"/>
    <w:rsid w:val="007320D5"/>
    <w:rsid w:val="00766609"/>
    <w:rsid w:val="007A0D46"/>
    <w:rsid w:val="007E09C0"/>
    <w:rsid w:val="007E3A02"/>
    <w:rsid w:val="008143F7"/>
    <w:rsid w:val="00815BDF"/>
    <w:rsid w:val="00842F73"/>
    <w:rsid w:val="0088051D"/>
    <w:rsid w:val="008A09FA"/>
    <w:rsid w:val="008A7213"/>
    <w:rsid w:val="008C587F"/>
    <w:rsid w:val="008D76CF"/>
    <w:rsid w:val="008E0087"/>
    <w:rsid w:val="008F01B5"/>
    <w:rsid w:val="00931CD2"/>
    <w:rsid w:val="00940375"/>
    <w:rsid w:val="00943320"/>
    <w:rsid w:val="0094383A"/>
    <w:rsid w:val="00950185"/>
    <w:rsid w:val="00964C24"/>
    <w:rsid w:val="00997AA9"/>
    <w:rsid w:val="009A4F6C"/>
    <w:rsid w:val="009B6D2B"/>
    <w:rsid w:val="009D3D7F"/>
    <w:rsid w:val="00A204C8"/>
    <w:rsid w:val="00A236D3"/>
    <w:rsid w:val="00A30481"/>
    <w:rsid w:val="00A307FB"/>
    <w:rsid w:val="00A45AA4"/>
    <w:rsid w:val="00A476A1"/>
    <w:rsid w:val="00A54115"/>
    <w:rsid w:val="00A61868"/>
    <w:rsid w:val="00A70BFE"/>
    <w:rsid w:val="00A849A9"/>
    <w:rsid w:val="00AB109E"/>
    <w:rsid w:val="00AF1B18"/>
    <w:rsid w:val="00B0798B"/>
    <w:rsid w:val="00B404AE"/>
    <w:rsid w:val="00B43572"/>
    <w:rsid w:val="00B43807"/>
    <w:rsid w:val="00B567D3"/>
    <w:rsid w:val="00B777AE"/>
    <w:rsid w:val="00BB0871"/>
    <w:rsid w:val="00BE551B"/>
    <w:rsid w:val="00C16DDE"/>
    <w:rsid w:val="00C3554E"/>
    <w:rsid w:val="00C56EF2"/>
    <w:rsid w:val="00C806AB"/>
    <w:rsid w:val="00C90D4F"/>
    <w:rsid w:val="00CA1B1C"/>
    <w:rsid w:val="00CA3024"/>
    <w:rsid w:val="00D00E13"/>
    <w:rsid w:val="00D07EE6"/>
    <w:rsid w:val="00D345A4"/>
    <w:rsid w:val="00D45750"/>
    <w:rsid w:val="00D617D3"/>
    <w:rsid w:val="00D64457"/>
    <w:rsid w:val="00D70917"/>
    <w:rsid w:val="00D86515"/>
    <w:rsid w:val="00D94A19"/>
    <w:rsid w:val="00DC40ED"/>
    <w:rsid w:val="00E400BD"/>
    <w:rsid w:val="00E40BF5"/>
    <w:rsid w:val="00E63627"/>
    <w:rsid w:val="00E73ADD"/>
    <w:rsid w:val="00EA04AF"/>
    <w:rsid w:val="00EA67EF"/>
    <w:rsid w:val="00EB0A93"/>
    <w:rsid w:val="00EC2977"/>
    <w:rsid w:val="00EE31A3"/>
    <w:rsid w:val="00EF5048"/>
    <w:rsid w:val="00F43EB8"/>
    <w:rsid w:val="00F557F8"/>
    <w:rsid w:val="00F56F36"/>
    <w:rsid w:val="00F90292"/>
    <w:rsid w:val="00F950A6"/>
    <w:rsid w:val="00FA02B6"/>
    <w:rsid w:val="00FB3F36"/>
    <w:rsid w:val="00FC281E"/>
    <w:rsid w:val="00FE0C66"/>
    <w:rsid w:val="00FE5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D3CC9"/>
  <w15:chartTrackingRefBased/>
  <w15:docId w15:val="{7AC794F9-C5DF-CB40-9771-FF89321A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97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97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97AA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97AA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97AA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97AA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7AA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7AA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7AA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7AA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97AA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97AA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97AA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97AA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97A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7A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7A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7A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7AA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7A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7AA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7A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7AA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7AA9"/>
    <w:rPr>
      <w:i/>
      <w:iCs/>
      <w:color w:val="404040" w:themeColor="text1" w:themeTint="BF"/>
    </w:rPr>
  </w:style>
  <w:style w:type="paragraph" w:styleId="Paragrafoelenco">
    <w:name w:val="List Paragraph"/>
    <w:basedOn w:val="Normale"/>
    <w:uiPriority w:val="34"/>
    <w:qFormat/>
    <w:rsid w:val="00997AA9"/>
    <w:pPr>
      <w:ind w:left="720"/>
      <w:contextualSpacing/>
    </w:pPr>
  </w:style>
  <w:style w:type="character" w:styleId="Enfasiintensa">
    <w:name w:val="Intense Emphasis"/>
    <w:basedOn w:val="Carpredefinitoparagrafo"/>
    <w:uiPriority w:val="21"/>
    <w:qFormat/>
    <w:rsid w:val="00997AA9"/>
    <w:rPr>
      <w:i/>
      <w:iCs/>
      <w:color w:val="0F4761" w:themeColor="accent1" w:themeShade="BF"/>
    </w:rPr>
  </w:style>
  <w:style w:type="paragraph" w:styleId="Citazioneintensa">
    <w:name w:val="Intense Quote"/>
    <w:basedOn w:val="Normale"/>
    <w:next w:val="Normale"/>
    <w:link w:val="CitazioneintensaCarattere"/>
    <w:uiPriority w:val="30"/>
    <w:qFormat/>
    <w:rsid w:val="00997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97AA9"/>
    <w:rPr>
      <w:i/>
      <w:iCs/>
      <w:color w:val="0F4761" w:themeColor="accent1" w:themeShade="BF"/>
    </w:rPr>
  </w:style>
  <w:style w:type="character" w:styleId="Riferimentointenso">
    <w:name w:val="Intense Reference"/>
    <w:basedOn w:val="Carpredefinitoparagrafo"/>
    <w:uiPriority w:val="32"/>
    <w:qFormat/>
    <w:rsid w:val="00997AA9"/>
    <w:rPr>
      <w:b/>
      <w:bCs/>
      <w:smallCaps/>
      <w:color w:val="0F4761" w:themeColor="accent1" w:themeShade="BF"/>
      <w:spacing w:val="5"/>
    </w:rPr>
  </w:style>
  <w:style w:type="paragraph" w:styleId="NormaleWeb">
    <w:name w:val="Normal (Web)"/>
    <w:basedOn w:val="Normale"/>
    <w:uiPriority w:val="99"/>
    <w:unhideWhenUsed/>
    <w:rsid w:val="00997AA9"/>
    <w:pPr>
      <w:spacing w:before="100" w:beforeAutospacing="1" w:after="100" w:afterAutospacing="1"/>
    </w:pPr>
    <w:rPr>
      <w:rFonts w:ascii="Times New Roman" w:eastAsia="Times New Roman" w:hAnsi="Times New Roman" w:cs="Times New Roman"/>
      <w:kern w:val="0"/>
      <w:lang w:eastAsia="it-IT"/>
      <w14:ligatures w14:val="none"/>
    </w:rPr>
  </w:style>
  <w:style w:type="paragraph" w:styleId="Revisione">
    <w:name w:val="Revision"/>
    <w:hidden/>
    <w:uiPriority w:val="99"/>
    <w:semiHidden/>
    <w:rsid w:val="00B404AE"/>
  </w:style>
  <w:style w:type="character" w:styleId="Rimandocommento">
    <w:name w:val="annotation reference"/>
    <w:basedOn w:val="Carpredefinitoparagrafo"/>
    <w:uiPriority w:val="99"/>
    <w:semiHidden/>
    <w:unhideWhenUsed/>
    <w:rsid w:val="00D70917"/>
    <w:rPr>
      <w:sz w:val="16"/>
      <w:szCs w:val="16"/>
    </w:rPr>
  </w:style>
  <w:style w:type="paragraph" w:styleId="Testocommento">
    <w:name w:val="annotation text"/>
    <w:basedOn w:val="Normale"/>
    <w:link w:val="TestocommentoCarattere"/>
    <w:uiPriority w:val="99"/>
    <w:unhideWhenUsed/>
    <w:rsid w:val="00D70917"/>
    <w:rPr>
      <w:sz w:val="20"/>
      <w:szCs w:val="20"/>
    </w:rPr>
  </w:style>
  <w:style w:type="character" w:customStyle="1" w:styleId="TestocommentoCarattere">
    <w:name w:val="Testo commento Carattere"/>
    <w:basedOn w:val="Carpredefinitoparagrafo"/>
    <w:link w:val="Testocommento"/>
    <w:uiPriority w:val="99"/>
    <w:rsid w:val="00D70917"/>
    <w:rPr>
      <w:sz w:val="20"/>
      <w:szCs w:val="20"/>
    </w:rPr>
  </w:style>
  <w:style w:type="paragraph" w:styleId="Soggettocommento">
    <w:name w:val="annotation subject"/>
    <w:basedOn w:val="Testocommento"/>
    <w:next w:val="Testocommento"/>
    <w:link w:val="SoggettocommentoCarattere"/>
    <w:uiPriority w:val="99"/>
    <w:semiHidden/>
    <w:unhideWhenUsed/>
    <w:rsid w:val="00D70917"/>
    <w:rPr>
      <w:b/>
      <w:bCs/>
    </w:rPr>
  </w:style>
  <w:style w:type="character" w:customStyle="1" w:styleId="SoggettocommentoCarattere">
    <w:name w:val="Soggetto commento Carattere"/>
    <w:basedOn w:val="TestocommentoCarattere"/>
    <w:link w:val="Soggettocommento"/>
    <w:uiPriority w:val="99"/>
    <w:semiHidden/>
    <w:rsid w:val="00D70917"/>
    <w:rPr>
      <w:b/>
      <w:bCs/>
      <w:sz w:val="20"/>
      <w:szCs w:val="20"/>
    </w:rPr>
  </w:style>
  <w:style w:type="paragraph" w:styleId="Testofumetto">
    <w:name w:val="Balloon Text"/>
    <w:basedOn w:val="Normale"/>
    <w:link w:val="TestofumettoCarattere"/>
    <w:uiPriority w:val="99"/>
    <w:semiHidden/>
    <w:unhideWhenUsed/>
    <w:rsid w:val="003E1F1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E1F12"/>
    <w:rPr>
      <w:rFonts w:ascii="Segoe UI" w:hAnsi="Segoe UI" w:cs="Segoe UI"/>
      <w:sz w:val="18"/>
      <w:szCs w:val="18"/>
    </w:rPr>
  </w:style>
  <w:style w:type="character" w:styleId="Enfasigrassetto">
    <w:name w:val="Strong"/>
    <w:basedOn w:val="Carpredefinitoparagrafo"/>
    <w:uiPriority w:val="22"/>
    <w:qFormat/>
    <w:rsid w:val="00943320"/>
    <w:rPr>
      <w:b/>
      <w:bCs/>
    </w:rPr>
  </w:style>
  <w:style w:type="character" w:styleId="Collegamentoipertestuale">
    <w:name w:val="Hyperlink"/>
    <w:basedOn w:val="Carpredefinitoparagrafo"/>
    <w:uiPriority w:val="99"/>
    <w:semiHidden/>
    <w:unhideWhenUsed/>
    <w:rsid w:val="00943320"/>
    <w:rPr>
      <w:color w:val="0000FF"/>
      <w:u w:val="single"/>
    </w:rPr>
  </w:style>
  <w:style w:type="paragraph" w:styleId="Corpotesto">
    <w:name w:val="Body Text"/>
    <w:basedOn w:val="Normale"/>
    <w:link w:val="CorpotestoCarattere"/>
    <w:rsid w:val="00A54115"/>
    <w:pPr>
      <w:suppressAutoHyphens/>
      <w:spacing w:after="140" w:line="276" w:lineRule="auto"/>
    </w:pPr>
    <w:rPr>
      <w:kern w:val="0"/>
      <w:sz w:val="22"/>
      <w:szCs w:val="22"/>
      <w14:ligatures w14:val="none"/>
    </w:rPr>
  </w:style>
  <w:style w:type="character" w:customStyle="1" w:styleId="CorpotestoCarattere">
    <w:name w:val="Corpo testo Carattere"/>
    <w:basedOn w:val="Carpredefinitoparagrafo"/>
    <w:link w:val="Corpotesto"/>
    <w:rsid w:val="00A54115"/>
    <w:rPr>
      <w:kern w:val="0"/>
      <w:sz w:val="22"/>
      <w:szCs w:val="22"/>
      <w14:ligatures w14:val="none"/>
    </w:rPr>
  </w:style>
  <w:style w:type="character" w:styleId="Collegamentovisitato">
    <w:name w:val="FollowedHyperlink"/>
    <w:basedOn w:val="Carpredefinitoparagrafo"/>
    <w:uiPriority w:val="99"/>
    <w:semiHidden/>
    <w:unhideWhenUsed/>
    <w:rsid w:val="00A54115"/>
    <w:rPr>
      <w:color w:val="96607D" w:themeColor="followedHyperlink"/>
      <w:u w:val="single"/>
    </w:rPr>
  </w:style>
  <w:style w:type="paragraph" w:styleId="Intestazione">
    <w:name w:val="header"/>
    <w:basedOn w:val="Normale"/>
    <w:link w:val="IntestazioneCarattere"/>
    <w:uiPriority w:val="99"/>
    <w:unhideWhenUsed/>
    <w:rsid w:val="007E3A02"/>
    <w:pPr>
      <w:tabs>
        <w:tab w:val="center" w:pos="4819"/>
        <w:tab w:val="right" w:pos="9638"/>
      </w:tabs>
    </w:pPr>
  </w:style>
  <w:style w:type="character" w:customStyle="1" w:styleId="IntestazioneCarattere">
    <w:name w:val="Intestazione Carattere"/>
    <w:basedOn w:val="Carpredefinitoparagrafo"/>
    <w:link w:val="Intestazione"/>
    <w:uiPriority w:val="99"/>
    <w:rsid w:val="007E3A02"/>
  </w:style>
  <w:style w:type="paragraph" w:styleId="Pidipagina">
    <w:name w:val="footer"/>
    <w:basedOn w:val="Normale"/>
    <w:link w:val="PidipaginaCarattere"/>
    <w:uiPriority w:val="99"/>
    <w:unhideWhenUsed/>
    <w:rsid w:val="007E3A02"/>
    <w:pPr>
      <w:tabs>
        <w:tab w:val="center" w:pos="4819"/>
        <w:tab w:val="right" w:pos="9638"/>
      </w:tabs>
    </w:pPr>
  </w:style>
  <w:style w:type="character" w:customStyle="1" w:styleId="PidipaginaCarattere">
    <w:name w:val="Piè di pagina Carattere"/>
    <w:basedOn w:val="Carpredefinitoparagrafo"/>
    <w:link w:val="Pidipagina"/>
    <w:uiPriority w:val="99"/>
    <w:rsid w:val="007E3A02"/>
  </w:style>
  <w:style w:type="table" w:styleId="Grigliatabella">
    <w:name w:val="Table Grid"/>
    <w:basedOn w:val="Tabellanormale"/>
    <w:uiPriority w:val="39"/>
    <w:rsid w:val="00683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99735">
      <w:bodyDiv w:val="1"/>
      <w:marLeft w:val="0"/>
      <w:marRight w:val="0"/>
      <w:marTop w:val="0"/>
      <w:marBottom w:val="0"/>
      <w:divBdr>
        <w:top w:val="none" w:sz="0" w:space="0" w:color="auto"/>
        <w:left w:val="none" w:sz="0" w:space="0" w:color="auto"/>
        <w:bottom w:val="none" w:sz="0" w:space="0" w:color="auto"/>
        <w:right w:val="none" w:sz="0" w:space="0" w:color="auto"/>
      </w:divBdr>
    </w:div>
    <w:div w:id="293214676">
      <w:bodyDiv w:val="1"/>
      <w:marLeft w:val="0"/>
      <w:marRight w:val="0"/>
      <w:marTop w:val="0"/>
      <w:marBottom w:val="0"/>
      <w:divBdr>
        <w:top w:val="none" w:sz="0" w:space="0" w:color="auto"/>
        <w:left w:val="none" w:sz="0" w:space="0" w:color="auto"/>
        <w:bottom w:val="none" w:sz="0" w:space="0" w:color="auto"/>
        <w:right w:val="none" w:sz="0" w:space="0" w:color="auto"/>
      </w:divBdr>
    </w:div>
    <w:div w:id="742331952">
      <w:bodyDiv w:val="1"/>
      <w:marLeft w:val="0"/>
      <w:marRight w:val="0"/>
      <w:marTop w:val="0"/>
      <w:marBottom w:val="0"/>
      <w:divBdr>
        <w:top w:val="none" w:sz="0" w:space="0" w:color="auto"/>
        <w:left w:val="none" w:sz="0" w:space="0" w:color="auto"/>
        <w:bottom w:val="none" w:sz="0" w:space="0" w:color="auto"/>
        <w:right w:val="none" w:sz="0" w:space="0" w:color="auto"/>
      </w:divBdr>
      <w:divsChild>
        <w:div w:id="1826586137">
          <w:marLeft w:val="0"/>
          <w:marRight w:val="0"/>
          <w:marTop w:val="0"/>
          <w:marBottom w:val="0"/>
          <w:divBdr>
            <w:top w:val="none" w:sz="0" w:space="0" w:color="auto"/>
            <w:left w:val="none" w:sz="0" w:space="0" w:color="auto"/>
            <w:bottom w:val="none" w:sz="0" w:space="0" w:color="auto"/>
            <w:right w:val="none" w:sz="0" w:space="0" w:color="auto"/>
          </w:divBdr>
        </w:div>
      </w:divsChild>
    </w:div>
    <w:div w:id="1065101676">
      <w:bodyDiv w:val="1"/>
      <w:marLeft w:val="0"/>
      <w:marRight w:val="0"/>
      <w:marTop w:val="0"/>
      <w:marBottom w:val="0"/>
      <w:divBdr>
        <w:top w:val="none" w:sz="0" w:space="0" w:color="auto"/>
        <w:left w:val="none" w:sz="0" w:space="0" w:color="auto"/>
        <w:bottom w:val="none" w:sz="0" w:space="0" w:color="auto"/>
        <w:right w:val="none" w:sz="0" w:space="0" w:color="auto"/>
      </w:divBdr>
    </w:div>
    <w:div w:id="1282224628">
      <w:bodyDiv w:val="1"/>
      <w:marLeft w:val="0"/>
      <w:marRight w:val="0"/>
      <w:marTop w:val="0"/>
      <w:marBottom w:val="0"/>
      <w:divBdr>
        <w:top w:val="none" w:sz="0" w:space="0" w:color="auto"/>
        <w:left w:val="none" w:sz="0" w:space="0" w:color="auto"/>
        <w:bottom w:val="none" w:sz="0" w:space="0" w:color="auto"/>
        <w:right w:val="none" w:sz="0" w:space="0" w:color="auto"/>
      </w:divBdr>
      <w:divsChild>
        <w:div w:id="1898277177">
          <w:marLeft w:val="0"/>
          <w:marRight w:val="0"/>
          <w:marTop w:val="0"/>
          <w:marBottom w:val="0"/>
          <w:divBdr>
            <w:top w:val="none" w:sz="0" w:space="0" w:color="auto"/>
            <w:left w:val="none" w:sz="0" w:space="0" w:color="auto"/>
            <w:bottom w:val="none" w:sz="0" w:space="0" w:color="auto"/>
            <w:right w:val="none" w:sz="0" w:space="0" w:color="auto"/>
          </w:divBdr>
        </w:div>
      </w:divsChild>
    </w:div>
    <w:div w:id="14675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tetobioproduct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esearch.dii.unipd.it/peg/" TargetMode="External"/><Relationship Id="rId4" Type="http://schemas.openxmlformats.org/officeDocument/2006/relationships/webSettings" Target="webSettings.xml"/><Relationship Id="rId9" Type="http://schemas.openxmlformats.org/officeDocument/2006/relationships/hyperlink" Target="http://www.wastetobioproducts.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2137</Words>
  <Characters>12186</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Milan</dc:creator>
  <cp:keywords/>
  <dc:description/>
  <cp:lastModifiedBy>Administrator</cp:lastModifiedBy>
  <cp:revision>3</cp:revision>
  <cp:lastPrinted>2024-06-10T05:45:00Z</cp:lastPrinted>
  <dcterms:created xsi:type="dcterms:W3CDTF">2026-06-03T21:16:00Z</dcterms:created>
  <dcterms:modified xsi:type="dcterms:W3CDTF">2026-06-03T21:20:00Z</dcterms:modified>
</cp:coreProperties>
</file>